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4234C" w14:textId="77777777" w:rsidR="00472EF6" w:rsidRDefault="00472EF6" w:rsidP="005F0271">
      <w:pPr>
        <w:jc w:val="center"/>
        <w:rPr>
          <w:b/>
          <w:bCs/>
          <w:sz w:val="26"/>
          <w:szCs w:val="26"/>
          <w:rtl/>
        </w:rPr>
      </w:pPr>
      <w:bookmarkStart w:id="0" w:name="_Toc61248052"/>
      <w:bookmarkStart w:id="1" w:name="_Toc61248071"/>
      <w:bookmarkStart w:id="2" w:name="_GoBack"/>
      <w:bookmarkEnd w:id="2"/>
      <w:r>
        <w:rPr>
          <w:noProof/>
        </w:rPr>
        <w:drawing>
          <wp:inline distT="0" distB="0" distL="0" distR="0" wp14:anchorId="244DD761" wp14:editId="594C64C0">
            <wp:extent cx="509905" cy="624205"/>
            <wp:effectExtent l="0" t="0" r="4445" b="4445"/>
            <wp:docPr id="1" name="תמונה 1" descr="סמל המדינה"/>
            <wp:cNvGraphicFramePr/>
            <a:graphic xmlns:a="http://schemas.openxmlformats.org/drawingml/2006/main">
              <a:graphicData uri="http://schemas.openxmlformats.org/drawingml/2006/picture">
                <pic:pic xmlns:pic="http://schemas.openxmlformats.org/drawingml/2006/picture">
                  <pic:nvPicPr>
                    <pic:cNvPr id="1" name="תמונה 1" descr="סמל המדינה"/>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905" cy="624205"/>
                    </a:xfrm>
                    <a:prstGeom prst="rect">
                      <a:avLst/>
                    </a:prstGeom>
                    <a:noFill/>
                    <a:ln>
                      <a:noFill/>
                    </a:ln>
                  </pic:spPr>
                </pic:pic>
              </a:graphicData>
            </a:graphic>
          </wp:inline>
        </w:drawing>
      </w:r>
    </w:p>
    <w:p w14:paraId="473AD55A" w14:textId="77777777" w:rsidR="00472EF6" w:rsidRDefault="00472EF6" w:rsidP="005F0271">
      <w:pPr>
        <w:rPr>
          <w:b/>
          <w:bCs/>
          <w:sz w:val="26"/>
          <w:szCs w:val="26"/>
          <w:rtl/>
        </w:rPr>
      </w:pPr>
      <w:r w:rsidRPr="00CB5068">
        <w:rPr>
          <w:b/>
          <w:bCs/>
          <w:sz w:val="26"/>
          <w:szCs w:val="26"/>
          <w:rtl/>
        </w:rPr>
        <w:t>תוכן עניינים</w:t>
      </w:r>
    </w:p>
    <w:p w14:paraId="7416C7C3" w14:textId="3571DA11" w:rsidR="005B36F5" w:rsidRDefault="005B36F5" w:rsidP="005B36F5">
      <w:pPr>
        <w:pStyle w:val="TOC1"/>
        <w:rPr>
          <w:rFonts w:asciiTheme="minorHAnsi" w:eastAsiaTheme="minorEastAsia" w:hAnsiTheme="minorHAnsi" w:cstheme="minorBidi"/>
          <w:bCs w:val="0"/>
          <w:noProof/>
          <w:sz w:val="22"/>
          <w:rtl/>
        </w:rPr>
      </w:pPr>
      <w:r>
        <w:rPr>
          <w:rtl/>
        </w:rPr>
        <w:fldChar w:fldCharType="begin"/>
      </w:r>
      <w:r>
        <w:rPr>
          <w:rtl/>
        </w:rPr>
        <w:instrText xml:space="preserve"> </w:instrText>
      </w:r>
      <w:r>
        <w:instrText>TOC</w:instrText>
      </w:r>
      <w:r>
        <w:rPr>
          <w:rtl/>
        </w:rPr>
        <w:instrText xml:space="preserve"> \</w:instrText>
      </w:r>
      <w:r>
        <w:instrText>o "1-9" \h \z \t "Table SideHeading,3,Table Head,2,Head HatzaotHok,1,Head DivreiHesber,2,Head HatzaotHok4Futer,1</w:instrText>
      </w:r>
      <w:r>
        <w:rPr>
          <w:rtl/>
        </w:rPr>
        <w:instrText xml:space="preserve">" </w:instrText>
      </w:r>
      <w:r>
        <w:rPr>
          <w:rtl/>
        </w:rPr>
        <w:fldChar w:fldCharType="separate"/>
      </w:r>
      <w:hyperlink w:anchor="_Toc70425236" w:history="1">
        <w:r w:rsidRPr="00B36297">
          <w:rPr>
            <w:rStyle w:val="Hyperlink"/>
            <w:noProof/>
            <w:rtl/>
          </w:rPr>
          <w:t>טיוטת כללים</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Toc70425236 \h</w:instrText>
        </w:r>
        <w:r>
          <w:rPr>
            <w:noProof/>
            <w:webHidden/>
            <w:rtl/>
          </w:rPr>
          <w:instrText xml:space="preserve"> </w:instrText>
        </w:r>
        <w:r>
          <w:rPr>
            <w:noProof/>
            <w:webHidden/>
            <w:rtl/>
          </w:rPr>
        </w:r>
        <w:r>
          <w:rPr>
            <w:noProof/>
            <w:webHidden/>
            <w:rtl/>
          </w:rPr>
          <w:fldChar w:fldCharType="separate"/>
        </w:r>
        <w:r>
          <w:rPr>
            <w:noProof/>
            <w:webHidden/>
            <w:rtl/>
          </w:rPr>
          <w:t>2</w:t>
        </w:r>
        <w:r>
          <w:rPr>
            <w:noProof/>
            <w:webHidden/>
            <w:rtl/>
          </w:rPr>
          <w:fldChar w:fldCharType="end"/>
        </w:r>
      </w:hyperlink>
    </w:p>
    <w:p w14:paraId="28FA8B50" w14:textId="6D189701" w:rsidR="005B36F5" w:rsidRDefault="00C95061" w:rsidP="005B36F5">
      <w:pPr>
        <w:pStyle w:val="TOC4"/>
        <w:rPr>
          <w:rFonts w:cstheme="minorBidi"/>
          <w:rtl/>
        </w:rPr>
      </w:pPr>
      <w:hyperlink w:anchor="_Toc70425237" w:history="1">
        <w:r w:rsidR="005B36F5" w:rsidRPr="00B36297">
          <w:rPr>
            <w:rStyle w:val="Hyperlink"/>
            <w:rtl/>
          </w:rPr>
          <w:t>א. שם הכללים המוצעים</w:t>
        </w:r>
        <w:r w:rsidR="005B36F5">
          <w:rPr>
            <w:webHidden/>
            <w:rtl/>
          </w:rPr>
          <w:tab/>
        </w:r>
        <w:r w:rsidR="005B36F5">
          <w:rPr>
            <w:webHidden/>
            <w:rtl/>
          </w:rPr>
          <w:fldChar w:fldCharType="begin"/>
        </w:r>
        <w:r w:rsidR="005B36F5">
          <w:rPr>
            <w:webHidden/>
            <w:rtl/>
          </w:rPr>
          <w:instrText xml:space="preserve"> </w:instrText>
        </w:r>
        <w:r w:rsidR="005B36F5">
          <w:rPr>
            <w:webHidden/>
          </w:rPr>
          <w:instrText>PAGEREF</w:instrText>
        </w:r>
        <w:r w:rsidR="005B36F5">
          <w:rPr>
            <w:webHidden/>
            <w:rtl/>
          </w:rPr>
          <w:instrText xml:space="preserve"> _</w:instrText>
        </w:r>
        <w:r w:rsidR="005B36F5">
          <w:rPr>
            <w:webHidden/>
          </w:rPr>
          <w:instrText>Toc70425237 \h</w:instrText>
        </w:r>
        <w:r w:rsidR="005B36F5">
          <w:rPr>
            <w:webHidden/>
            <w:rtl/>
          </w:rPr>
          <w:instrText xml:space="preserve"> </w:instrText>
        </w:r>
        <w:r w:rsidR="005B36F5">
          <w:rPr>
            <w:webHidden/>
            <w:rtl/>
          </w:rPr>
        </w:r>
        <w:r w:rsidR="005B36F5">
          <w:rPr>
            <w:webHidden/>
            <w:rtl/>
          </w:rPr>
          <w:fldChar w:fldCharType="separate"/>
        </w:r>
        <w:r w:rsidR="005B36F5">
          <w:rPr>
            <w:webHidden/>
            <w:rtl/>
          </w:rPr>
          <w:t>2</w:t>
        </w:r>
        <w:r w:rsidR="005B36F5">
          <w:rPr>
            <w:webHidden/>
            <w:rtl/>
          </w:rPr>
          <w:fldChar w:fldCharType="end"/>
        </w:r>
      </w:hyperlink>
    </w:p>
    <w:p w14:paraId="2EBF3F20" w14:textId="7E970AF1" w:rsidR="005B36F5" w:rsidRDefault="00C95061" w:rsidP="005B36F5">
      <w:pPr>
        <w:pStyle w:val="TOC4"/>
        <w:rPr>
          <w:rFonts w:cstheme="minorBidi"/>
          <w:rtl/>
        </w:rPr>
      </w:pPr>
      <w:hyperlink w:anchor="_Toc70425238" w:history="1">
        <w:r w:rsidR="005B36F5" w:rsidRPr="00B36297">
          <w:rPr>
            <w:rStyle w:val="Hyperlink"/>
            <w:rtl/>
          </w:rPr>
          <w:t>ב. מטרת הכללים המוצעים והצורך בהם</w:t>
        </w:r>
        <w:r w:rsidR="005B36F5">
          <w:rPr>
            <w:webHidden/>
            <w:rtl/>
          </w:rPr>
          <w:tab/>
        </w:r>
        <w:r w:rsidR="005B36F5">
          <w:rPr>
            <w:webHidden/>
            <w:rtl/>
          </w:rPr>
          <w:fldChar w:fldCharType="begin"/>
        </w:r>
        <w:r w:rsidR="005B36F5">
          <w:rPr>
            <w:webHidden/>
            <w:rtl/>
          </w:rPr>
          <w:instrText xml:space="preserve"> </w:instrText>
        </w:r>
        <w:r w:rsidR="005B36F5">
          <w:rPr>
            <w:webHidden/>
          </w:rPr>
          <w:instrText>PAGEREF</w:instrText>
        </w:r>
        <w:r w:rsidR="005B36F5">
          <w:rPr>
            <w:webHidden/>
            <w:rtl/>
          </w:rPr>
          <w:instrText xml:space="preserve"> _</w:instrText>
        </w:r>
        <w:r w:rsidR="005B36F5">
          <w:rPr>
            <w:webHidden/>
          </w:rPr>
          <w:instrText>Toc70425238 \h</w:instrText>
        </w:r>
        <w:r w:rsidR="005B36F5">
          <w:rPr>
            <w:webHidden/>
            <w:rtl/>
          </w:rPr>
          <w:instrText xml:space="preserve"> </w:instrText>
        </w:r>
        <w:r w:rsidR="005B36F5">
          <w:rPr>
            <w:webHidden/>
            <w:rtl/>
          </w:rPr>
        </w:r>
        <w:r w:rsidR="005B36F5">
          <w:rPr>
            <w:webHidden/>
            <w:rtl/>
          </w:rPr>
          <w:fldChar w:fldCharType="separate"/>
        </w:r>
        <w:r w:rsidR="005B36F5">
          <w:rPr>
            <w:webHidden/>
            <w:rtl/>
          </w:rPr>
          <w:t>2</w:t>
        </w:r>
        <w:r w:rsidR="005B36F5">
          <w:rPr>
            <w:webHidden/>
            <w:rtl/>
          </w:rPr>
          <w:fldChar w:fldCharType="end"/>
        </w:r>
      </w:hyperlink>
    </w:p>
    <w:p w14:paraId="79E577E7" w14:textId="1B584F5D" w:rsidR="005B36F5" w:rsidRDefault="00C95061" w:rsidP="005B36F5">
      <w:pPr>
        <w:pStyle w:val="TOC4"/>
        <w:rPr>
          <w:rFonts w:cstheme="minorBidi"/>
          <w:rtl/>
        </w:rPr>
      </w:pPr>
      <w:hyperlink w:anchor="_Toc70425239" w:history="1">
        <w:r w:rsidR="005B36F5" w:rsidRPr="00B36297">
          <w:rPr>
            <w:rStyle w:val="Hyperlink"/>
            <w:rtl/>
          </w:rPr>
          <w:t>ג. להלן נוסח טיוטת הכללים המוצעים:</w:t>
        </w:r>
        <w:r w:rsidR="005B36F5">
          <w:rPr>
            <w:webHidden/>
            <w:rtl/>
          </w:rPr>
          <w:tab/>
        </w:r>
        <w:r w:rsidR="005B36F5">
          <w:rPr>
            <w:webHidden/>
            <w:rtl/>
          </w:rPr>
          <w:fldChar w:fldCharType="begin"/>
        </w:r>
        <w:r w:rsidR="005B36F5">
          <w:rPr>
            <w:webHidden/>
            <w:rtl/>
          </w:rPr>
          <w:instrText xml:space="preserve"> </w:instrText>
        </w:r>
        <w:r w:rsidR="005B36F5">
          <w:rPr>
            <w:webHidden/>
          </w:rPr>
          <w:instrText>PAGEREF</w:instrText>
        </w:r>
        <w:r w:rsidR="005B36F5">
          <w:rPr>
            <w:webHidden/>
            <w:rtl/>
          </w:rPr>
          <w:instrText xml:space="preserve"> _</w:instrText>
        </w:r>
        <w:r w:rsidR="005B36F5">
          <w:rPr>
            <w:webHidden/>
          </w:rPr>
          <w:instrText>Toc70425239 \h</w:instrText>
        </w:r>
        <w:r w:rsidR="005B36F5">
          <w:rPr>
            <w:webHidden/>
            <w:rtl/>
          </w:rPr>
          <w:instrText xml:space="preserve"> </w:instrText>
        </w:r>
        <w:r w:rsidR="005B36F5">
          <w:rPr>
            <w:webHidden/>
            <w:rtl/>
          </w:rPr>
        </w:r>
        <w:r w:rsidR="005B36F5">
          <w:rPr>
            <w:webHidden/>
            <w:rtl/>
          </w:rPr>
          <w:fldChar w:fldCharType="separate"/>
        </w:r>
        <w:r w:rsidR="005B36F5">
          <w:rPr>
            <w:webHidden/>
            <w:rtl/>
          </w:rPr>
          <w:t>2</w:t>
        </w:r>
        <w:r w:rsidR="005B36F5">
          <w:rPr>
            <w:webHidden/>
            <w:rtl/>
          </w:rPr>
          <w:fldChar w:fldCharType="end"/>
        </w:r>
      </w:hyperlink>
    </w:p>
    <w:p w14:paraId="7335CB7B" w14:textId="215C9974" w:rsidR="005B36F5" w:rsidRDefault="00C95061" w:rsidP="005B36F5">
      <w:pPr>
        <w:pStyle w:val="TOC1"/>
        <w:rPr>
          <w:rFonts w:asciiTheme="minorHAnsi" w:eastAsiaTheme="minorEastAsia" w:hAnsiTheme="minorHAnsi" w:cstheme="minorBidi"/>
          <w:bCs w:val="0"/>
          <w:noProof/>
          <w:sz w:val="22"/>
          <w:rtl/>
        </w:rPr>
      </w:pPr>
      <w:hyperlink w:anchor="_Toc70425240" w:history="1">
        <w:r w:rsidR="005B36F5" w:rsidRPr="00B36297">
          <w:rPr>
            <w:rStyle w:val="Hyperlink"/>
            <w:noProof/>
            <w:rtl/>
          </w:rPr>
          <w:t>טיוטת כללי ההגבלים העסקיים (פטור סוג להסכמים שפגיעתם בתחרות קלת ערך) (הוראת שעה) (תיקון), התשפ"א-2021</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Toc70425240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3</w:t>
        </w:r>
        <w:r w:rsidR="005B36F5">
          <w:rPr>
            <w:noProof/>
            <w:webHidden/>
            <w:rtl/>
          </w:rPr>
          <w:fldChar w:fldCharType="end"/>
        </w:r>
      </w:hyperlink>
    </w:p>
    <w:p w14:paraId="71CC238B" w14:textId="40EAFB48" w:rsidR="005B36F5" w:rsidRDefault="00C95061" w:rsidP="005B36F5">
      <w:pPr>
        <w:pStyle w:val="TOC3"/>
        <w:rPr>
          <w:rFonts w:asciiTheme="minorHAnsi" w:eastAsiaTheme="minorEastAsia" w:hAnsiTheme="minorHAnsi" w:cstheme="minorBidi"/>
          <w:noProof/>
          <w:sz w:val="22"/>
          <w:rtl/>
        </w:rPr>
      </w:pPr>
      <w:hyperlink w:anchor="_Toc70425241" w:history="1">
        <w:r w:rsidR="005B36F5" w:rsidRPr="00B36297">
          <w:rPr>
            <w:rStyle w:val="Hyperlink"/>
            <w:noProof/>
            <w:rtl/>
          </w:rPr>
          <w:t>תיקון השם</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Toc70425241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3</w:t>
        </w:r>
        <w:r w:rsidR="005B36F5">
          <w:rPr>
            <w:noProof/>
            <w:webHidden/>
            <w:rtl/>
          </w:rPr>
          <w:fldChar w:fldCharType="end"/>
        </w:r>
      </w:hyperlink>
    </w:p>
    <w:p w14:paraId="3F7C810F" w14:textId="621A4A88" w:rsidR="005B36F5" w:rsidRDefault="00C95061" w:rsidP="005B36F5">
      <w:pPr>
        <w:pStyle w:val="TOC3"/>
        <w:rPr>
          <w:rFonts w:asciiTheme="minorHAnsi" w:eastAsiaTheme="minorEastAsia" w:hAnsiTheme="minorHAnsi" w:cstheme="minorBidi"/>
          <w:noProof/>
          <w:sz w:val="22"/>
          <w:rtl/>
        </w:rPr>
      </w:pPr>
      <w:hyperlink w:anchor="_Toc70425242" w:history="1">
        <w:r w:rsidR="005B36F5" w:rsidRPr="00B36297">
          <w:rPr>
            <w:rStyle w:val="Hyperlink"/>
            <w:noProof/>
            <w:rtl/>
          </w:rPr>
          <w:t>תיקון הפתיח</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Toc70425242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3</w:t>
        </w:r>
        <w:r w:rsidR="005B36F5">
          <w:rPr>
            <w:noProof/>
            <w:webHidden/>
            <w:rtl/>
          </w:rPr>
          <w:fldChar w:fldCharType="end"/>
        </w:r>
      </w:hyperlink>
    </w:p>
    <w:p w14:paraId="266FF624" w14:textId="27A450C8" w:rsidR="005B36F5" w:rsidRDefault="00C95061" w:rsidP="005B36F5">
      <w:pPr>
        <w:pStyle w:val="TOC3"/>
        <w:rPr>
          <w:rFonts w:asciiTheme="minorHAnsi" w:eastAsiaTheme="minorEastAsia" w:hAnsiTheme="minorHAnsi" w:cstheme="minorBidi"/>
          <w:noProof/>
          <w:sz w:val="22"/>
          <w:rtl/>
        </w:rPr>
      </w:pPr>
      <w:hyperlink w:anchor="_Toc70425243" w:history="1">
        <w:r w:rsidR="005B36F5" w:rsidRPr="00B36297">
          <w:rPr>
            <w:rStyle w:val="Hyperlink"/>
            <w:noProof/>
            <w:rtl/>
          </w:rPr>
          <w:t>תיקון סעיף 1</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Toc70425243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3</w:t>
        </w:r>
        <w:r w:rsidR="005B36F5">
          <w:rPr>
            <w:noProof/>
            <w:webHidden/>
            <w:rtl/>
          </w:rPr>
          <w:fldChar w:fldCharType="end"/>
        </w:r>
      </w:hyperlink>
    </w:p>
    <w:p w14:paraId="304286D1" w14:textId="34121ECD" w:rsidR="005B36F5" w:rsidRDefault="00C95061" w:rsidP="005B36F5">
      <w:pPr>
        <w:pStyle w:val="TOC3"/>
        <w:rPr>
          <w:rFonts w:asciiTheme="minorHAnsi" w:eastAsiaTheme="minorEastAsia" w:hAnsiTheme="minorHAnsi" w:cstheme="minorBidi"/>
          <w:noProof/>
          <w:sz w:val="22"/>
          <w:rtl/>
        </w:rPr>
      </w:pPr>
      <w:hyperlink w:anchor="_Toc70425244" w:history="1">
        <w:r w:rsidR="005B36F5" w:rsidRPr="00B36297">
          <w:rPr>
            <w:rStyle w:val="Hyperlink"/>
            <w:noProof/>
            <w:rtl/>
          </w:rPr>
          <w:t>תוקף</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Toc70425244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3</w:t>
        </w:r>
        <w:r w:rsidR="005B36F5">
          <w:rPr>
            <w:noProof/>
            <w:webHidden/>
            <w:rtl/>
          </w:rPr>
          <w:fldChar w:fldCharType="end"/>
        </w:r>
      </w:hyperlink>
    </w:p>
    <w:p w14:paraId="033ABB33" w14:textId="28CDEBC6" w:rsidR="005B36F5" w:rsidRDefault="00C95061" w:rsidP="005B36F5">
      <w:pPr>
        <w:pStyle w:val="TOC2"/>
        <w:rPr>
          <w:rFonts w:asciiTheme="minorHAnsi" w:eastAsiaTheme="minorEastAsia" w:hAnsiTheme="minorHAnsi" w:cstheme="minorBidi"/>
          <w:noProof/>
          <w:sz w:val="22"/>
          <w:rtl/>
        </w:rPr>
      </w:pPr>
      <w:hyperlink w:anchor="_Toc70425245" w:history="1">
        <w:r w:rsidR="005B36F5" w:rsidRPr="00B36297">
          <w:rPr>
            <w:rStyle w:val="Hyperlink"/>
            <w:noProof/>
            <w:rtl/>
          </w:rPr>
          <w:t>דברי הסבר</w:t>
        </w:r>
        <w:r w:rsidR="005B36F5">
          <w:rPr>
            <w:noProof/>
            <w:webHidden/>
            <w:rtl/>
          </w:rPr>
          <w:tab/>
        </w:r>
        <w:r w:rsidR="005B36F5">
          <w:rPr>
            <w:noProof/>
            <w:webHidden/>
            <w:rtl/>
          </w:rPr>
          <w:fldChar w:fldCharType="begin"/>
        </w:r>
        <w:r w:rsidR="005B36F5">
          <w:rPr>
            <w:noProof/>
            <w:webHidden/>
            <w:rtl/>
          </w:rPr>
          <w:instrText xml:space="preserve"> </w:instrText>
        </w:r>
        <w:r w:rsidR="005B36F5">
          <w:rPr>
            <w:noProof/>
            <w:webHidden/>
          </w:rPr>
          <w:instrText>PAGEREF</w:instrText>
        </w:r>
        <w:r w:rsidR="005B36F5">
          <w:rPr>
            <w:noProof/>
            <w:webHidden/>
            <w:rtl/>
          </w:rPr>
          <w:instrText xml:space="preserve"> _</w:instrText>
        </w:r>
        <w:r w:rsidR="005B36F5">
          <w:rPr>
            <w:noProof/>
            <w:webHidden/>
          </w:rPr>
          <w:instrText>Toc70425245 \h</w:instrText>
        </w:r>
        <w:r w:rsidR="005B36F5">
          <w:rPr>
            <w:noProof/>
            <w:webHidden/>
            <w:rtl/>
          </w:rPr>
          <w:instrText xml:space="preserve"> </w:instrText>
        </w:r>
        <w:r w:rsidR="005B36F5">
          <w:rPr>
            <w:noProof/>
            <w:webHidden/>
            <w:rtl/>
          </w:rPr>
        </w:r>
        <w:r w:rsidR="005B36F5">
          <w:rPr>
            <w:noProof/>
            <w:webHidden/>
            <w:rtl/>
          </w:rPr>
          <w:fldChar w:fldCharType="separate"/>
        </w:r>
        <w:r w:rsidR="005B36F5">
          <w:rPr>
            <w:noProof/>
            <w:webHidden/>
            <w:rtl/>
          </w:rPr>
          <w:t>4</w:t>
        </w:r>
        <w:r w:rsidR="005B36F5">
          <w:rPr>
            <w:noProof/>
            <w:webHidden/>
            <w:rtl/>
          </w:rPr>
          <w:fldChar w:fldCharType="end"/>
        </w:r>
      </w:hyperlink>
    </w:p>
    <w:p w14:paraId="15D8414D" w14:textId="08F32D20" w:rsidR="00472EF6" w:rsidRDefault="005B36F5" w:rsidP="005B36F5">
      <w:pPr>
        <w:rPr>
          <w:snapToGrid w:val="0"/>
          <w:rtl/>
        </w:rPr>
      </w:pPr>
      <w:r>
        <w:rPr>
          <w:rtl/>
        </w:rPr>
        <w:fldChar w:fldCharType="end"/>
      </w:r>
      <w:r w:rsidR="00472EF6">
        <w:rPr>
          <w:rtl/>
        </w:rPr>
        <w:br w:type="page"/>
      </w:r>
    </w:p>
    <w:p w14:paraId="3D5FBC6E" w14:textId="77777777" w:rsidR="003A35C0" w:rsidRDefault="003A35C0" w:rsidP="00307E94">
      <w:pPr>
        <w:pStyle w:val="Heading1"/>
        <w:keepNext w:val="0"/>
        <w:keepLines w:val="0"/>
      </w:pPr>
      <w:bookmarkStart w:id="3" w:name="_Toc70357924"/>
      <w:bookmarkStart w:id="4" w:name="_Toc70357943"/>
      <w:bookmarkStart w:id="5" w:name="_Toc70425236"/>
      <w:r>
        <w:rPr>
          <w:rtl/>
        </w:rPr>
        <w:lastRenderedPageBreak/>
        <w:t>טיוטת כללים</w:t>
      </w:r>
      <w:bookmarkEnd w:id="0"/>
      <w:bookmarkEnd w:id="1"/>
      <w:bookmarkEnd w:id="3"/>
      <w:bookmarkEnd w:id="4"/>
      <w:bookmarkEnd w:id="5"/>
    </w:p>
    <w:p w14:paraId="1CCC9870" w14:textId="77777777" w:rsidR="003A35C0" w:rsidRDefault="003A35C0" w:rsidP="00307E94">
      <w:pPr>
        <w:rPr>
          <w:rtl/>
        </w:rPr>
      </w:pPr>
    </w:p>
    <w:p w14:paraId="7000B74F" w14:textId="77777777" w:rsidR="003A35C0" w:rsidRDefault="003A35C0" w:rsidP="00F24A78">
      <w:pPr>
        <w:pStyle w:val="Heading4"/>
        <w:rPr>
          <w:rtl/>
        </w:rPr>
      </w:pPr>
      <w:bookmarkStart w:id="6" w:name="_Toc61248072"/>
      <w:bookmarkStart w:id="7" w:name="_Toc70357944"/>
      <w:bookmarkStart w:id="8" w:name="_Toc70425237"/>
      <w:r>
        <w:rPr>
          <w:rFonts w:hint="cs"/>
          <w:rtl/>
        </w:rPr>
        <w:t>שם הכללים המוצעים</w:t>
      </w:r>
      <w:bookmarkEnd w:id="6"/>
      <w:bookmarkEnd w:id="7"/>
      <w:bookmarkEnd w:id="8"/>
    </w:p>
    <w:p w14:paraId="66853B7F" w14:textId="1A08FA0E" w:rsidR="003A35C0" w:rsidRDefault="009433F4" w:rsidP="00FC6A5F">
      <w:r>
        <w:rPr>
          <w:rFonts w:hint="cs"/>
          <w:rtl/>
        </w:rPr>
        <w:t xml:space="preserve">כללי </w:t>
      </w:r>
      <w:r w:rsidR="00DA5591">
        <w:rPr>
          <w:rFonts w:hint="cs"/>
          <w:rtl/>
        </w:rPr>
        <w:t>התחרות הכלכלית</w:t>
      </w:r>
      <w:r>
        <w:rPr>
          <w:rFonts w:hint="cs"/>
          <w:rtl/>
        </w:rPr>
        <w:t xml:space="preserve"> (</w:t>
      </w:r>
      <w:r w:rsidR="00FC6A5F" w:rsidRPr="00FC6A5F">
        <w:rPr>
          <w:rtl/>
        </w:rPr>
        <w:t>פטור סוג להסכמים שפגיעתם בתחרות קלת ערך</w:t>
      </w:r>
      <w:r>
        <w:rPr>
          <w:rFonts w:hint="cs"/>
          <w:rtl/>
        </w:rPr>
        <w:t>)</w:t>
      </w:r>
      <w:r w:rsidR="00556FD8">
        <w:rPr>
          <w:rFonts w:hint="cs"/>
          <w:rtl/>
        </w:rPr>
        <w:t xml:space="preserve"> </w:t>
      </w:r>
      <w:r>
        <w:rPr>
          <w:rFonts w:hint="cs"/>
          <w:rtl/>
        </w:rPr>
        <w:t>(הוראת שעה)</w:t>
      </w:r>
      <w:r w:rsidR="002C287B">
        <w:rPr>
          <w:rFonts w:hint="cs"/>
          <w:rtl/>
        </w:rPr>
        <w:t xml:space="preserve"> (תיקון)</w:t>
      </w:r>
      <w:r>
        <w:rPr>
          <w:rFonts w:hint="cs"/>
          <w:rtl/>
        </w:rPr>
        <w:t>, התשפ"א-2021</w:t>
      </w:r>
    </w:p>
    <w:p w14:paraId="41DA7C1A" w14:textId="037061E3" w:rsidR="003A35C0" w:rsidRDefault="00CD34DB" w:rsidP="00CD34DB">
      <w:pPr>
        <w:pStyle w:val="Heading4"/>
        <w:rPr>
          <w:rtl/>
        </w:rPr>
      </w:pPr>
      <w:bookmarkStart w:id="9" w:name="_Toc70357945"/>
      <w:bookmarkStart w:id="10" w:name="_Toc70425238"/>
      <w:r>
        <w:rPr>
          <w:rFonts w:hint="cs"/>
          <w:rtl/>
        </w:rPr>
        <w:t>מטרת הכללים המוצעים והצורך בהם</w:t>
      </w:r>
      <w:bookmarkEnd w:id="9"/>
      <w:bookmarkEnd w:id="10"/>
    </w:p>
    <w:p w14:paraId="3BD1CB26" w14:textId="77777777" w:rsidR="00CD34DB" w:rsidRPr="00CD34DB" w:rsidRDefault="00CD34DB" w:rsidP="00CD34DB">
      <w:r w:rsidRPr="00CD34DB">
        <w:rPr>
          <w:rtl/>
        </w:rPr>
        <w:t>פטור הסוג לכבילות קלות ערך, עוסק בהסדרים שוליים יחסית בשוק בו נערכו. הרציונל בבסיס פטור הסוג הוא שההשפעה התחרותית האפשרית כתוצאה מהסדרים אלו על השוק שבו הצדדים פועלים או על שווקים משיקים היא זניחה. ההנחה הבסיסית היא שהסכם שנערך בין מי שחלקם המשותף בשוק הוא שולי יחסית וכן חלקם לא משמעותי בשווקים אחרים שבהם הצדדים מתחרים, לא יפגע בתחרות בשוק בכללותו שכן רובו המכריע של השוק מצוי מחוץ לתחולתו של ההסכם, והכל בכפוף לחריגים המפורטים בפטור עצמו.</w:t>
      </w:r>
    </w:p>
    <w:p w14:paraId="2FE7B9D1" w14:textId="17D2F02D" w:rsidR="00CD34DB" w:rsidRDefault="00CD34DB" w:rsidP="00CF48B5">
      <w:pPr>
        <w:rPr>
          <w:rtl/>
        </w:rPr>
      </w:pPr>
      <w:r w:rsidRPr="00CD34DB">
        <w:rPr>
          <w:rtl/>
        </w:rPr>
        <w:t xml:space="preserve">הפרמטר </w:t>
      </w:r>
      <w:r w:rsidR="00B81DDE" w:rsidRPr="00CD34DB">
        <w:rPr>
          <w:rFonts w:hint="cs"/>
          <w:rtl/>
        </w:rPr>
        <w:t>לאומד</w:t>
      </w:r>
      <w:r w:rsidR="00B81DDE" w:rsidRPr="00CD34DB">
        <w:rPr>
          <w:rFonts w:hint="eastAsia"/>
          <w:rtl/>
        </w:rPr>
        <w:t>ן</w:t>
      </w:r>
      <w:r w:rsidRPr="00CD34DB">
        <w:rPr>
          <w:rtl/>
        </w:rPr>
        <w:t xml:space="preserve"> שוליות </w:t>
      </w:r>
      <w:r w:rsidR="00CF48B5">
        <w:rPr>
          <w:rFonts w:hint="cs"/>
          <w:rtl/>
        </w:rPr>
        <w:t>ההסדר</w:t>
      </w:r>
      <w:r w:rsidRPr="00CD34DB">
        <w:rPr>
          <w:rtl/>
        </w:rPr>
        <w:t xml:space="preserve"> ביחס לשוק לגביו נחתם הוא נתח שוק של 15% מצרפי של כל הצדדים לו בכל אחד משוקי המוצר שההסכם נוגע להם, ו</w:t>
      </w:r>
      <w:r w:rsidR="00CF48B5">
        <w:rPr>
          <w:rFonts w:hint="cs"/>
          <w:rtl/>
        </w:rPr>
        <w:t>-</w:t>
      </w:r>
      <w:r w:rsidRPr="00CD34DB">
        <w:rPr>
          <w:rtl/>
        </w:rPr>
        <w:t>30% מצרפי של הצדדים להסדר (או חלקם) בשוקי מוצר בהם הם מתחרים, שההסדר אינו נוגע אליהם.</w:t>
      </w:r>
    </w:p>
    <w:p w14:paraId="67D06170" w14:textId="0094EAF0" w:rsidR="00CD34DB" w:rsidRDefault="00CD34DB" w:rsidP="00CD34DB">
      <w:pPr>
        <w:rPr>
          <w:rtl/>
        </w:rPr>
      </w:pPr>
      <w:r>
        <w:rPr>
          <w:rFonts w:hint="cs"/>
          <w:rtl/>
        </w:rPr>
        <w:t xml:space="preserve">במסגרת התיקון מוצע לחדש </w:t>
      </w:r>
      <w:r w:rsidRPr="009A2549">
        <w:rPr>
          <w:rtl/>
        </w:rPr>
        <w:t>את פטור הסוג לתקופה של 5 שנים</w:t>
      </w:r>
      <w:r>
        <w:rPr>
          <w:rFonts w:hint="cs"/>
          <w:rtl/>
        </w:rPr>
        <w:t xml:space="preserve"> נוספות</w:t>
      </w:r>
      <w:r w:rsidRPr="009A2549">
        <w:rPr>
          <w:rtl/>
        </w:rPr>
        <w:t>. כן מוצע להתאים את נוסח הוראות פטור הסוג לתיקון מס' 21 לחוק במסגרתו שונה, בין היתר, שם החוק ל</w:t>
      </w:r>
      <w:r w:rsidR="00CF48B5">
        <w:rPr>
          <w:rFonts w:hint="cs"/>
          <w:rtl/>
        </w:rPr>
        <w:t>"</w:t>
      </w:r>
      <w:r w:rsidRPr="009A2549">
        <w:rPr>
          <w:rtl/>
        </w:rPr>
        <w:t>חוק התחרות הכלכלית</w:t>
      </w:r>
      <w:r w:rsidR="00CF48B5">
        <w:rPr>
          <w:rFonts w:hint="cs"/>
          <w:rtl/>
        </w:rPr>
        <w:t>"</w:t>
      </w:r>
      <w:r>
        <w:rPr>
          <w:rFonts w:hint="cs"/>
          <w:rtl/>
        </w:rPr>
        <w:t>, ושם בית הדין ל</w:t>
      </w:r>
      <w:r w:rsidR="00CF48B5">
        <w:rPr>
          <w:rFonts w:hint="cs"/>
          <w:rtl/>
        </w:rPr>
        <w:t>"</w:t>
      </w:r>
      <w:r>
        <w:rPr>
          <w:rFonts w:hint="cs"/>
          <w:rtl/>
        </w:rPr>
        <w:t>בית הדין לתחרות</w:t>
      </w:r>
      <w:r w:rsidR="00CF48B5">
        <w:rPr>
          <w:rFonts w:hint="cs"/>
          <w:rtl/>
        </w:rPr>
        <w:t>"</w:t>
      </w:r>
      <w:r>
        <w:rPr>
          <w:rFonts w:hint="cs"/>
          <w:rtl/>
        </w:rPr>
        <w:t>.</w:t>
      </w:r>
    </w:p>
    <w:p w14:paraId="0967EF79" w14:textId="06E23A6A" w:rsidR="00CD34DB" w:rsidRPr="00CD34DB" w:rsidRDefault="00CD34DB" w:rsidP="00CD34DB">
      <w:pPr>
        <w:rPr>
          <w:rtl/>
        </w:rPr>
      </w:pPr>
      <w:r w:rsidRPr="00CD34DB">
        <w:rPr>
          <w:rtl/>
        </w:rPr>
        <w:t xml:space="preserve">  </w:t>
      </w:r>
    </w:p>
    <w:p w14:paraId="75D7D326" w14:textId="77777777" w:rsidR="003A35C0" w:rsidRDefault="003A35C0" w:rsidP="00F24A78">
      <w:pPr>
        <w:pStyle w:val="Heading4"/>
        <w:rPr>
          <w:rtl/>
        </w:rPr>
      </w:pPr>
      <w:bookmarkStart w:id="11" w:name="_Toc61248074"/>
      <w:bookmarkStart w:id="12" w:name="_Toc70357946"/>
      <w:bookmarkStart w:id="13" w:name="_Toc70425239"/>
      <w:r>
        <w:rPr>
          <w:rFonts w:hint="cs"/>
          <w:rtl/>
        </w:rPr>
        <w:t>להלן נוסח טיוטת הכללים המוצעים:</w:t>
      </w:r>
      <w:bookmarkEnd w:id="11"/>
      <w:bookmarkEnd w:id="12"/>
      <w:bookmarkEnd w:id="13"/>
      <w:r>
        <w:rPr>
          <w:rFonts w:hint="cs"/>
          <w:rtl/>
        </w:rPr>
        <w:t xml:space="preserve"> </w:t>
      </w:r>
    </w:p>
    <w:p w14:paraId="54DE08D8" w14:textId="77777777" w:rsidR="00CF48B5" w:rsidRDefault="00CF48B5">
      <w:pPr>
        <w:widowControl/>
        <w:bidi w:val="0"/>
        <w:spacing w:after="160" w:line="259" w:lineRule="auto"/>
        <w:ind w:left="0"/>
        <w:contextualSpacing w:val="0"/>
        <w:jc w:val="left"/>
        <w:rPr>
          <w:rFonts w:ascii="Arial" w:eastAsia="Arial Unicode MS" w:hAnsi="Arial"/>
          <w:b/>
          <w:bCs/>
          <w:snapToGrid w:val="0"/>
          <w:sz w:val="20"/>
          <w:szCs w:val="26"/>
          <w:rtl/>
        </w:rPr>
      </w:pPr>
      <w:bookmarkStart w:id="14" w:name="_Toc61248053"/>
      <w:bookmarkStart w:id="15" w:name="_Toc61248075"/>
      <w:bookmarkStart w:id="16" w:name="_Toc70357925"/>
      <w:bookmarkStart w:id="17" w:name="_Toc70357947"/>
      <w:r>
        <w:rPr>
          <w:rtl/>
        </w:rPr>
        <w:br w:type="page"/>
      </w:r>
    </w:p>
    <w:p w14:paraId="00B07CCA" w14:textId="4B353FD1" w:rsidR="003A35C0" w:rsidRDefault="003A35C0" w:rsidP="00FC6A5F">
      <w:pPr>
        <w:pStyle w:val="HeadHatzaotHok"/>
        <w:keepNext w:val="0"/>
        <w:keepLines w:val="0"/>
        <w:rPr>
          <w:rtl/>
        </w:rPr>
      </w:pPr>
      <w:bookmarkStart w:id="18" w:name="_Toc70425240"/>
      <w:r>
        <w:rPr>
          <w:rtl/>
        </w:rPr>
        <w:lastRenderedPageBreak/>
        <w:t xml:space="preserve">טיוטת </w:t>
      </w:r>
      <w:r w:rsidRPr="00CC4B65">
        <w:rPr>
          <w:rtl/>
        </w:rPr>
        <w:t xml:space="preserve">כללי </w:t>
      </w:r>
      <w:r w:rsidR="001B3826">
        <w:rPr>
          <w:rFonts w:hint="cs"/>
          <w:rtl/>
        </w:rPr>
        <w:t>ההגבלים העסקיים</w:t>
      </w:r>
      <w:r w:rsidR="00286F55">
        <w:rPr>
          <w:rFonts w:hint="cs"/>
          <w:rtl/>
        </w:rPr>
        <w:t xml:space="preserve"> (</w:t>
      </w:r>
      <w:r w:rsidR="00FC6A5F" w:rsidRPr="00FC6A5F">
        <w:rPr>
          <w:rtl/>
        </w:rPr>
        <w:t>פטור סוג להסכמים שפגיעתם בתחרות קלת ערך</w:t>
      </w:r>
      <w:r w:rsidR="00286F55">
        <w:rPr>
          <w:rFonts w:hint="cs"/>
          <w:rtl/>
        </w:rPr>
        <w:t xml:space="preserve">) (הוראת שעה) </w:t>
      </w:r>
      <w:r w:rsidR="005229C6">
        <w:rPr>
          <w:rtl/>
        </w:rPr>
        <w:t>(תיקון</w:t>
      </w:r>
      <w:r>
        <w:rPr>
          <w:rtl/>
        </w:rPr>
        <w:t>)</w:t>
      </w:r>
      <w:r w:rsidR="00286F55">
        <w:rPr>
          <w:rFonts w:hint="cs"/>
          <w:rtl/>
        </w:rPr>
        <w:t>, התשפ"א-2021</w:t>
      </w:r>
      <w:bookmarkEnd w:id="14"/>
      <w:bookmarkEnd w:id="15"/>
      <w:bookmarkEnd w:id="16"/>
      <w:bookmarkEnd w:id="17"/>
      <w:bookmarkEnd w:id="18"/>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3A35C0" w14:paraId="53276650" w14:textId="77777777" w:rsidTr="00B80E80">
        <w:trPr>
          <w:cantSplit/>
          <w:trHeight w:val="60"/>
        </w:trPr>
        <w:tc>
          <w:tcPr>
            <w:tcW w:w="1871" w:type="dxa"/>
          </w:tcPr>
          <w:p w14:paraId="0DB00144" w14:textId="77777777" w:rsidR="003A35C0" w:rsidRDefault="003A35C0">
            <w:pPr>
              <w:pStyle w:val="TableSideHeading"/>
              <w:rPr>
                <w:rtl/>
              </w:rPr>
            </w:pPr>
          </w:p>
        </w:tc>
        <w:tc>
          <w:tcPr>
            <w:tcW w:w="624" w:type="dxa"/>
          </w:tcPr>
          <w:p w14:paraId="342D43CE" w14:textId="77777777" w:rsidR="003A35C0" w:rsidRDefault="003A35C0">
            <w:pPr>
              <w:pStyle w:val="TableText"/>
            </w:pPr>
          </w:p>
        </w:tc>
        <w:tc>
          <w:tcPr>
            <w:tcW w:w="7146" w:type="dxa"/>
            <w:hideMark/>
          </w:tcPr>
          <w:p w14:paraId="478EFA5C" w14:textId="77777777" w:rsidR="003A35C0" w:rsidRDefault="003A35C0" w:rsidP="00CC4B65">
            <w:pPr>
              <w:pStyle w:val="TableBlock"/>
            </w:pPr>
            <w:r>
              <w:rPr>
                <w:rtl/>
              </w:rPr>
              <w:t>בתוקף סמכותי לפי סעיף</w:t>
            </w:r>
            <w:r w:rsidR="00286F55">
              <w:rPr>
                <w:rFonts w:hint="cs"/>
                <w:rtl/>
              </w:rPr>
              <w:t xml:space="preserve"> 15א לחוק </w:t>
            </w:r>
            <w:r w:rsidR="00CC4B65">
              <w:rPr>
                <w:rFonts w:hint="cs"/>
                <w:rtl/>
              </w:rPr>
              <w:t>התחרות הכלכלית</w:t>
            </w:r>
            <w:r w:rsidR="00286F55">
              <w:rPr>
                <w:rFonts w:hint="cs"/>
                <w:rtl/>
              </w:rPr>
              <w:t>, התשמ"ח-1988</w:t>
            </w:r>
            <w:r w:rsidR="0034368F">
              <w:rPr>
                <w:rStyle w:val="FootnoteReference"/>
                <w:rtl/>
              </w:rPr>
              <w:footnoteReference w:id="1"/>
            </w:r>
            <w:r w:rsidR="0034368F">
              <w:rPr>
                <w:rFonts w:hint="cs"/>
                <w:rtl/>
              </w:rPr>
              <w:t>, ובאישור הוועדה לפטורים ולמיזוגים, אני מתקינה כללי פטור סוג אלה</w:t>
            </w:r>
            <w:r>
              <w:rPr>
                <w:rtl/>
              </w:rPr>
              <w:t>:</w:t>
            </w:r>
          </w:p>
        </w:tc>
      </w:tr>
      <w:tr w:rsidR="003A35C0" w14:paraId="042A2070" w14:textId="77777777" w:rsidTr="00B80E80">
        <w:trPr>
          <w:cantSplit/>
          <w:trHeight w:val="60"/>
        </w:trPr>
        <w:tc>
          <w:tcPr>
            <w:tcW w:w="1871" w:type="dxa"/>
          </w:tcPr>
          <w:p w14:paraId="1A892884" w14:textId="77777777" w:rsidR="003A35C0" w:rsidRDefault="0034368F">
            <w:pPr>
              <w:pStyle w:val="TableSideHeading"/>
            </w:pPr>
            <w:bookmarkStart w:id="19" w:name="_Toc61248054"/>
            <w:bookmarkStart w:id="20" w:name="_Toc61248076"/>
            <w:bookmarkStart w:id="21" w:name="_Toc70357926"/>
            <w:bookmarkStart w:id="22" w:name="_Toc70357948"/>
            <w:bookmarkStart w:id="23" w:name="_Toc70425241"/>
            <w:r>
              <w:rPr>
                <w:rFonts w:hint="cs"/>
                <w:rtl/>
              </w:rPr>
              <w:t>תיקון השם</w:t>
            </w:r>
            <w:bookmarkEnd w:id="19"/>
            <w:bookmarkEnd w:id="20"/>
            <w:bookmarkEnd w:id="21"/>
            <w:bookmarkEnd w:id="22"/>
            <w:bookmarkEnd w:id="23"/>
          </w:p>
        </w:tc>
        <w:tc>
          <w:tcPr>
            <w:tcW w:w="624" w:type="dxa"/>
          </w:tcPr>
          <w:p w14:paraId="1AE40B86" w14:textId="77777777" w:rsidR="003A35C0" w:rsidRDefault="003A35C0" w:rsidP="003A35C0">
            <w:pPr>
              <w:pStyle w:val="TableText"/>
              <w:numPr>
                <w:ilvl w:val="0"/>
                <w:numId w:val="2"/>
              </w:numPr>
            </w:pPr>
          </w:p>
        </w:tc>
        <w:tc>
          <w:tcPr>
            <w:tcW w:w="7146" w:type="dxa"/>
          </w:tcPr>
          <w:p w14:paraId="399AD6AB" w14:textId="6907BD12" w:rsidR="003A35C0" w:rsidRPr="00152C72" w:rsidRDefault="0034368F" w:rsidP="008F5420">
            <w:pPr>
              <w:pStyle w:val="TableBlock"/>
              <w:rPr>
                <w:rFonts w:ascii="David" w:hAnsi="David"/>
                <w:sz w:val="26"/>
              </w:rPr>
            </w:pPr>
            <w:r w:rsidRPr="00152C72">
              <w:rPr>
                <w:rFonts w:ascii="David" w:hAnsi="David"/>
                <w:sz w:val="26"/>
                <w:rtl/>
              </w:rPr>
              <w:t>בכללי ההגבלים העסקיים (</w:t>
            </w:r>
            <w:r w:rsidR="00FC6A5F" w:rsidRPr="00152C72">
              <w:rPr>
                <w:rFonts w:ascii="David" w:hAnsi="David"/>
                <w:sz w:val="26"/>
                <w:rtl/>
              </w:rPr>
              <w:t>פטור סוג להסכמים שפגיעתם בתחרות קלת ערך</w:t>
            </w:r>
            <w:r w:rsidRPr="00152C72">
              <w:rPr>
                <w:rFonts w:ascii="David" w:hAnsi="David"/>
                <w:sz w:val="26"/>
                <w:rtl/>
              </w:rPr>
              <w:t xml:space="preserve">) (הוראת שעה), </w:t>
            </w:r>
            <w:r w:rsidR="00FC6A5F" w:rsidRPr="00152C72">
              <w:rPr>
                <w:rFonts w:ascii="David" w:hAnsi="David"/>
                <w:sz w:val="26"/>
                <w:rtl/>
              </w:rPr>
              <w:t>תשס"ו-2006</w:t>
            </w:r>
            <w:r w:rsidR="00472EF6" w:rsidRPr="00152C72">
              <w:rPr>
                <w:rStyle w:val="FootnoteReference"/>
                <w:rFonts w:ascii="David" w:hAnsi="David"/>
                <w:sz w:val="26"/>
                <w:rtl/>
              </w:rPr>
              <w:footnoteReference w:id="2"/>
            </w:r>
            <w:r w:rsidRPr="00152C72">
              <w:rPr>
                <w:rFonts w:ascii="David" w:hAnsi="David"/>
                <w:sz w:val="26"/>
                <w:rtl/>
              </w:rPr>
              <w:t xml:space="preserve"> (להלן – הכללים העיקריים) </w:t>
            </w:r>
            <w:r w:rsidR="006B1CDF" w:rsidRPr="00152C72">
              <w:rPr>
                <w:rFonts w:ascii="David" w:hAnsi="David"/>
                <w:sz w:val="26"/>
                <w:rtl/>
              </w:rPr>
              <w:t>במקום שם הכללים העיקריים יבוא: "כללי התחרות הכלכלית (</w:t>
            </w:r>
            <w:r w:rsidR="00FC6A5F" w:rsidRPr="00152C72">
              <w:rPr>
                <w:rFonts w:ascii="David" w:hAnsi="David"/>
                <w:sz w:val="26"/>
                <w:rtl/>
              </w:rPr>
              <w:t>פטור סוג להסכמים שפגיעתם בתחרות קלת ערך</w:t>
            </w:r>
            <w:r w:rsidR="006B1CDF" w:rsidRPr="00152C72">
              <w:rPr>
                <w:rFonts w:ascii="David" w:hAnsi="David"/>
                <w:sz w:val="26"/>
                <w:rtl/>
              </w:rPr>
              <w:t xml:space="preserve">) (הוראת שעה), </w:t>
            </w:r>
            <w:r w:rsidR="00FC6A5F" w:rsidRPr="00152C72">
              <w:rPr>
                <w:rFonts w:ascii="David" w:hAnsi="David"/>
                <w:sz w:val="26"/>
                <w:rtl/>
              </w:rPr>
              <w:t>תשס"ו-2006</w:t>
            </w:r>
            <w:r w:rsidR="006B1CDF" w:rsidRPr="00152C72">
              <w:rPr>
                <w:rFonts w:ascii="David" w:hAnsi="David"/>
                <w:sz w:val="26"/>
                <w:rtl/>
              </w:rPr>
              <w:t xml:space="preserve">". </w:t>
            </w:r>
          </w:p>
        </w:tc>
      </w:tr>
      <w:tr w:rsidR="006B1CDF" w14:paraId="6BC7CEAB" w14:textId="77777777" w:rsidTr="00B80E80">
        <w:trPr>
          <w:cantSplit/>
          <w:trHeight w:val="60"/>
        </w:trPr>
        <w:tc>
          <w:tcPr>
            <w:tcW w:w="1871" w:type="dxa"/>
          </w:tcPr>
          <w:p w14:paraId="5F2B12A5" w14:textId="77777777" w:rsidR="006B1CDF" w:rsidRDefault="006B1CDF" w:rsidP="007E751D">
            <w:pPr>
              <w:pStyle w:val="TableSideHeading"/>
              <w:keepLines w:val="0"/>
            </w:pPr>
            <w:bookmarkStart w:id="24" w:name="_Toc61248055"/>
            <w:bookmarkStart w:id="25" w:name="_Toc61248077"/>
            <w:bookmarkStart w:id="26" w:name="_Toc70357927"/>
            <w:bookmarkStart w:id="27" w:name="_Toc70357949"/>
            <w:bookmarkStart w:id="28" w:name="_Toc70425242"/>
            <w:r>
              <w:rPr>
                <w:rFonts w:hint="cs"/>
                <w:rtl/>
              </w:rPr>
              <w:t>תיקון הפתיח</w:t>
            </w:r>
            <w:bookmarkEnd w:id="24"/>
            <w:bookmarkEnd w:id="25"/>
            <w:bookmarkEnd w:id="26"/>
            <w:bookmarkEnd w:id="27"/>
            <w:bookmarkEnd w:id="28"/>
          </w:p>
        </w:tc>
        <w:tc>
          <w:tcPr>
            <w:tcW w:w="624" w:type="dxa"/>
          </w:tcPr>
          <w:p w14:paraId="1277395B" w14:textId="77777777" w:rsidR="006B1CDF" w:rsidRDefault="006B1CDF" w:rsidP="006B1CDF">
            <w:pPr>
              <w:pStyle w:val="TableText"/>
              <w:keepLines w:val="0"/>
              <w:numPr>
                <w:ilvl w:val="0"/>
                <w:numId w:val="4"/>
              </w:numPr>
            </w:pPr>
          </w:p>
        </w:tc>
        <w:tc>
          <w:tcPr>
            <w:tcW w:w="7146" w:type="dxa"/>
          </w:tcPr>
          <w:p w14:paraId="02E023BD" w14:textId="77777777" w:rsidR="006B1CDF" w:rsidRPr="00152C72" w:rsidRDefault="006B1CDF" w:rsidP="007E751D">
            <w:pPr>
              <w:pStyle w:val="TableBlock"/>
              <w:keepLines w:val="0"/>
              <w:rPr>
                <w:rFonts w:ascii="David" w:hAnsi="David"/>
                <w:sz w:val="26"/>
              </w:rPr>
            </w:pPr>
            <w:r w:rsidRPr="00152C72">
              <w:rPr>
                <w:rFonts w:ascii="David" w:hAnsi="David"/>
                <w:sz w:val="26"/>
                <w:rtl/>
              </w:rPr>
              <w:t>בכללים העיקריים, ברישה במקום "ההגבלים העסקיים" יבוא "התחרות הכלכלית".</w:t>
            </w:r>
          </w:p>
        </w:tc>
      </w:tr>
      <w:tr w:rsidR="006B1CDF" w14:paraId="351DEFD0" w14:textId="77777777" w:rsidTr="00B80E80">
        <w:trPr>
          <w:cantSplit/>
          <w:trHeight w:val="60"/>
        </w:trPr>
        <w:tc>
          <w:tcPr>
            <w:tcW w:w="1871" w:type="dxa"/>
          </w:tcPr>
          <w:p w14:paraId="6B505B20" w14:textId="77777777" w:rsidR="006B1CDF" w:rsidRDefault="006B1CDF" w:rsidP="006B1CDF">
            <w:pPr>
              <w:pStyle w:val="TableSideHeading"/>
              <w:keepLines w:val="0"/>
            </w:pPr>
            <w:bookmarkStart w:id="29" w:name="_Toc61248056"/>
            <w:bookmarkStart w:id="30" w:name="_Toc61248078"/>
            <w:bookmarkStart w:id="31" w:name="_Toc70357928"/>
            <w:bookmarkStart w:id="32" w:name="_Toc70357950"/>
            <w:bookmarkStart w:id="33" w:name="_Toc70425243"/>
            <w:r>
              <w:rPr>
                <w:rFonts w:hint="cs"/>
                <w:rtl/>
              </w:rPr>
              <w:t>תיקון סעיף 1</w:t>
            </w:r>
            <w:bookmarkEnd w:id="29"/>
            <w:bookmarkEnd w:id="30"/>
            <w:bookmarkEnd w:id="31"/>
            <w:bookmarkEnd w:id="32"/>
            <w:bookmarkEnd w:id="33"/>
          </w:p>
        </w:tc>
        <w:tc>
          <w:tcPr>
            <w:tcW w:w="624" w:type="dxa"/>
          </w:tcPr>
          <w:p w14:paraId="04C4C5DA" w14:textId="77777777" w:rsidR="006B1CDF" w:rsidRDefault="006B1CDF" w:rsidP="006B1CDF">
            <w:pPr>
              <w:pStyle w:val="TableText"/>
              <w:keepLines w:val="0"/>
              <w:numPr>
                <w:ilvl w:val="0"/>
                <w:numId w:val="4"/>
              </w:numPr>
            </w:pPr>
          </w:p>
        </w:tc>
        <w:tc>
          <w:tcPr>
            <w:tcW w:w="7146" w:type="dxa"/>
          </w:tcPr>
          <w:p w14:paraId="0BE6ECFA" w14:textId="7AA3327E" w:rsidR="006B1CDF" w:rsidRPr="00152C72" w:rsidRDefault="006660FA" w:rsidP="00CF48B5">
            <w:pPr>
              <w:pStyle w:val="TableBlock"/>
              <w:rPr>
                <w:rFonts w:ascii="David" w:hAnsi="David"/>
                <w:sz w:val="26"/>
              </w:rPr>
            </w:pPr>
            <w:r w:rsidRPr="00152C72">
              <w:rPr>
                <w:rFonts w:ascii="David" w:hAnsi="David"/>
                <w:sz w:val="26"/>
                <w:rtl/>
              </w:rPr>
              <w:t>בסעיף 1 לכללים העיקריים, במקום "להגבלים עסקיים</w:t>
            </w:r>
            <w:r w:rsidR="00CF48B5">
              <w:rPr>
                <w:rFonts w:ascii="David" w:hAnsi="David" w:hint="cs"/>
                <w:sz w:val="26"/>
                <w:rtl/>
              </w:rPr>
              <w:t>"</w:t>
            </w:r>
            <w:r w:rsidRPr="00152C72">
              <w:rPr>
                <w:rFonts w:ascii="David" w:hAnsi="David"/>
                <w:sz w:val="26"/>
                <w:rtl/>
              </w:rPr>
              <w:t xml:space="preserve"> יבוא "לתחרות".</w:t>
            </w:r>
          </w:p>
        </w:tc>
      </w:tr>
      <w:tr w:rsidR="00C773E3" w14:paraId="435A42D9" w14:textId="77777777" w:rsidTr="00B80E80">
        <w:trPr>
          <w:cantSplit/>
          <w:trHeight w:val="60"/>
        </w:trPr>
        <w:tc>
          <w:tcPr>
            <w:tcW w:w="1871" w:type="dxa"/>
          </w:tcPr>
          <w:p w14:paraId="61460047" w14:textId="728C5102" w:rsidR="00C773E3" w:rsidRDefault="00C773E3" w:rsidP="006660FA">
            <w:pPr>
              <w:pStyle w:val="TableSideHeading"/>
              <w:keepLines w:val="0"/>
            </w:pPr>
            <w:bookmarkStart w:id="34" w:name="_Toc61248058"/>
            <w:bookmarkStart w:id="35" w:name="_Toc61248080"/>
            <w:bookmarkStart w:id="36" w:name="_Toc70357930"/>
            <w:bookmarkStart w:id="37" w:name="_Toc70357952"/>
            <w:bookmarkStart w:id="38" w:name="_Toc70425244"/>
            <w:r>
              <w:rPr>
                <w:rFonts w:hint="cs"/>
                <w:rtl/>
              </w:rPr>
              <w:t>תוקף</w:t>
            </w:r>
            <w:bookmarkEnd w:id="34"/>
            <w:bookmarkEnd w:id="35"/>
            <w:bookmarkEnd w:id="36"/>
            <w:bookmarkEnd w:id="37"/>
            <w:bookmarkEnd w:id="38"/>
          </w:p>
        </w:tc>
        <w:tc>
          <w:tcPr>
            <w:tcW w:w="624" w:type="dxa"/>
          </w:tcPr>
          <w:p w14:paraId="55859515" w14:textId="77777777" w:rsidR="00C773E3" w:rsidRDefault="00C773E3" w:rsidP="00E95BDD">
            <w:pPr>
              <w:pStyle w:val="TableText"/>
              <w:keepLines w:val="0"/>
              <w:numPr>
                <w:ilvl w:val="0"/>
                <w:numId w:val="4"/>
              </w:numPr>
            </w:pPr>
          </w:p>
        </w:tc>
        <w:tc>
          <w:tcPr>
            <w:tcW w:w="7146" w:type="dxa"/>
          </w:tcPr>
          <w:p w14:paraId="00B5390C" w14:textId="5D5A273F" w:rsidR="00C773E3" w:rsidRPr="00152C72" w:rsidRDefault="00C773E3" w:rsidP="003431A9">
            <w:pPr>
              <w:pStyle w:val="TableBlock"/>
              <w:keepLines w:val="0"/>
              <w:tabs>
                <w:tab w:val="left" w:pos="6214"/>
              </w:tabs>
              <w:rPr>
                <w:rFonts w:ascii="David" w:hAnsi="David"/>
                <w:sz w:val="26"/>
              </w:rPr>
            </w:pPr>
            <w:r>
              <w:rPr>
                <w:rFonts w:ascii="David" w:hAnsi="David" w:hint="cs"/>
                <w:sz w:val="26"/>
                <w:rtl/>
              </w:rPr>
              <w:t xml:space="preserve">תוקף כללים אלה עד יום </w:t>
            </w:r>
            <w:r w:rsidRPr="00152C72">
              <w:rPr>
                <w:rFonts w:ascii="David" w:hAnsi="David"/>
                <w:sz w:val="26"/>
                <w:rtl/>
              </w:rPr>
              <w:t xml:space="preserve">ד' בתשרי </w:t>
            </w:r>
            <w:proofErr w:type="spellStart"/>
            <w:r w:rsidRPr="00152C72">
              <w:rPr>
                <w:rFonts w:ascii="David" w:hAnsi="David"/>
                <w:sz w:val="26"/>
                <w:rtl/>
              </w:rPr>
              <w:t>התשפ"ז</w:t>
            </w:r>
            <w:proofErr w:type="spellEnd"/>
            <w:r w:rsidRPr="00152C72">
              <w:rPr>
                <w:rFonts w:ascii="David" w:hAnsi="David"/>
                <w:sz w:val="26"/>
                <w:rtl/>
              </w:rPr>
              <w:t xml:space="preserve"> (15 בספטמבר 2026).</w:t>
            </w:r>
          </w:p>
        </w:tc>
      </w:tr>
    </w:tbl>
    <w:p w14:paraId="5110FB7F" w14:textId="77777777" w:rsidR="003A35C0" w:rsidRDefault="003A35C0" w:rsidP="00307E94"/>
    <w:p w14:paraId="138D1A7F" w14:textId="77777777" w:rsidR="003A35C0" w:rsidRDefault="003A35C0" w:rsidP="00307E94">
      <w:pPr>
        <w:rPr>
          <w:rtl/>
        </w:rPr>
      </w:pPr>
    </w:p>
    <w:p w14:paraId="273E2812" w14:textId="77777777" w:rsidR="003A35C0" w:rsidRDefault="003A35C0" w:rsidP="00307E94">
      <w:pPr>
        <w:rPr>
          <w:rFonts w:eastAsia="Calibri"/>
          <w:rtl/>
        </w:rPr>
      </w:pPr>
      <w:r>
        <w:rPr>
          <w:rFonts w:eastAsia="Calibri" w:hint="cs"/>
          <w:rtl/>
        </w:rPr>
        <w:t>___ ב________ התש_______ (___ ב________ ____20)</w:t>
      </w:r>
    </w:p>
    <w:p w14:paraId="1693FB48" w14:textId="77777777" w:rsidR="003A35C0" w:rsidRDefault="003A35C0" w:rsidP="00307E94">
      <w:pPr>
        <w:rPr>
          <w:rFonts w:eastAsia="Calibri"/>
          <w:rtl/>
        </w:rPr>
      </w:pPr>
      <w:r>
        <w:rPr>
          <w:rFonts w:eastAsia="Calibri" w:hint="cs"/>
          <w:rtl/>
        </w:rPr>
        <w:t>[תאריך עברי] ([תאריך לועזי])</w:t>
      </w:r>
    </w:p>
    <w:p w14:paraId="461BAA3C" w14:textId="77777777" w:rsidR="003A35C0" w:rsidRDefault="003A35C0" w:rsidP="00307E94">
      <w:pPr>
        <w:rPr>
          <w:rFonts w:eastAsia="Calibri"/>
          <w:rtl/>
        </w:rPr>
      </w:pPr>
      <w:r>
        <w:rPr>
          <w:rFonts w:eastAsia="Calibri" w:hint="cs"/>
          <w:rtl/>
        </w:rPr>
        <w:lastRenderedPageBreak/>
        <w:t>(</w:t>
      </w:r>
      <w:proofErr w:type="spellStart"/>
      <w:r>
        <w:rPr>
          <w:rFonts w:eastAsia="Calibri" w:hint="cs"/>
          <w:rtl/>
        </w:rPr>
        <w:t>חמ</w:t>
      </w:r>
      <w:proofErr w:type="spellEnd"/>
      <w:r>
        <w:rPr>
          <w:rFonts w:eastAsia="Calibri" w:hint="cs"/>
          <w:rtl/>
        </w:rPr>
        <w:t xml:space="preserve"> _____-3)</w:t>
      </w:r>
    </w:p>
    <w:p w14:paraId="2E5E98AA" w14:textId="77777777" w:rsidR="003A35C0" w:rsidRDefault="003A35C0" w:rsidP="00307E94">
      <w:pPr>
        <w:rPr>
          <w:rFonts w:eastAsia="Calibri"/>
          <w:rtl/>
        </w:rPr>
      </w:pPr>
    </w:p>
    <w:p w14:paraId="2E8BB7E3" w14:textId="77777777" w:rsidR="00604D0F" w:rsidRDefault="00604D0F" w:rsidP="00604D0F">
      <w:pPr>
        <w:ind w:left="5760"/>
        <w:jc w:val="center"/>
        <w:rPr>
          <w:rFonts w:eastAsia="Calibri"/>
          <w:rtl/>
        </w:rPr>
      </w:pPr>
      <w:bookmarkStart w:id="39" w:name="_Toc61248059"/>
      <w:bookmarkStart w:id="40" w:name="_Toc61248081"/>
      <w:r>
        <w:rPr>
          <w:rFonts w:eastAsia="Calibri" w:hint="cs"/>
          <w:rtl/>
        </w:rPr>
        <w:t>__________________</w:t>
      </w:r>
    </w:p>
    <w:p w14:paraId="411A43F3" w14:textId="77777777" w:rsidR="00604D0F" w:rsidRDefault="00604D0F" w:rsidP="00604D0F">
      <w:pPr>
        <w:ind w:left="5760"/>
        <w:jc w:val="center"/>
        <w:rPr>
          <w:rFonts w:eastAsia="Calibri"/>
          <w:rtl/>
        </w:rPr>
      </w:pPr>
      <w:r>
        <w:rPr>
          <w:rFonts w:eastAsia="Calibri" w:hint="cs"/>
          <w:rtl/>
        </w:rPr>
        <w:t>מיכל הלפרין</w:t>
      </w:r>
    </w:p>
    <w:p w14:paraId="27AD9BDE" w14:textId="77777777" w:rsidR="00604D0F" w:rsidRDefault="00604D0F" w:rsidP="00604D0F">
      <w:pPr>
        <w:ind w:left="5760"/>
        <w:jc w:val="center"/>
        <w:rPr>
          <w:rFonts w:eastAsia="Calibri"/>
          <w:rtl/>
        </w:rPr>
      </w:pPr>
      <w:r>
        <w:rPr>
          <w:rFonts w:eastAsia="Calibri" w:hint="cs"/>
          <w:rtl/>
        </w:rPr>
        <w:t>הממונה על התחרות</w:t>
      </w:r>
    </w:p>
    <w:p w14:paraId="4A415E47" w14:textId="77777777" w:rsidR="00604D0F" w:rsidRPr="00C640AA" w:rsidRDefault="00604D0F" w:rsidP="00604D0F">
      <w:pPr>
        <w:rPr>
          <w:rtl/>
        </w:rPr>
      </w:pPr>
    </w:p>
    <w:p w14:paraId="48CAA056" w14:textId="77777777" w:rsidR="00604D0F" w:rsidRDefault="00604D0F" w:rsidP="00604D0F">
      <w:pPr>
        <w:rPr>
          <w:rFonts w:eastAsia="Calibri"/>
          <w:rtl/>
        </w:rPr>
      </w:pPr>
    </w:p>
    <w:p w14:paraId="2075D537" w14:textId="27E80D7F" w:rsidR="00604D0F" w:rsidRDefault="00604D0F" w:rsidP="000F68A5">
      <w:pPr>
        <w:ind w:left="5760"/>
        <w:jc w:val="center"/>
        <w:rPr>
          <w:rFonts w:eastAsia="Calibri"/>
          <w:rtl/>
        </w:rPr>
      </w:pPr>
      <w:r>
        <w:rPr>
          <w:rFonts w:eastAsia="Calibri" w:hint="cs"/>
          <w:rtl/>
        </w:rPr>
        <w:t>__________________</w:t>
      </w:r>
    </w:p>
    <w:p w14:paraId="63816DE1" w14:textId="77777777" w:rsidR="00604D0F" w:rsidRDefault="00604D0F" w:rsidP="00604D0F">
      <w:pPr>
        <w:ind w:left="5760"/>
        <w:jc w:val="center"/>
        <w:rPr>
          <w:rFonts w:eastAsia="Calibri"/>
          <w:rtl/>
        </w:rPr>
      </w:pPr>
      <w:r>
        <w:rPr>
          <w:rFonts w:eastAsia="Calibri" w:hint="cs"/>
          <w:rtl/>
        </w:rPr>
        <w:t>[שם מלא של המתקין]</w:t>
      </w:r>
    </w:p>
    <w:p w14:paraId="776134D7" w14:textId="39D115D1" w:rsidR="00604D0F" w:rsidRDefault="000F68A5" w:rsidP="00604D0F">
      <w:pPr>
        <w:ind w:left="5760"/>
        <w:jc w:val="center"/>
        <w:rPr>
          <w:rFonts w:eastAsia="Calibri"/>
          <w:rtl/>
        </w:rPr>
      </w:pPr>
      <w:r>
        <w:rPr>
          <w:rFonts w:eastAsia="Calibri" w:hint="cs"/>
          <w:rtl/>
        </w:rPr>
        <w:t>שר הכלכלה</w:t>
      </w:r>
    </w:p>
    <w:p w14:paraId="253EBB15" w14:textId="0B38AB81" w:rsidR="00942C7F" w:rsidRDefault="00942C7F" w:rsidP="00604D0F">
      <w:pPr>
        <w:ind w:left="5760"/>
        <w:jc w:val="center"/>
        <w:rPr>
          <w:rFonts w:eastAsia="Calibri"/>
          <w:rtl/>
        </w:rPr>
      </w:pPr>
    </w:p>
    <w:p w14:paraId="1818326E" w14:textId="73537322" w:rsidR="00942C7F" w:rsidRDefault="00942C7F" w:rsidP="00604D0F">
      <w:pPr>
        <w:ind w:left="5760"/>
        <w:jc w:val="center"/>
        <w:rPr>
          <w:rFonts w:eastAsia="Calibri"/>
          <w:rtl/>
        </w:rPr>
      </w:pPr>
    </w:p>
    <w:p w14:paraId="173FD036" w14:textId="42EC7913" w:rsidR="00942C7F" w:rsidRDefault="00942C7F" w:rsidP="00604D0F">
      <w:pPr>
        <w:ind w:left="5760"/>
        <w:jc w:val="center"/>
        <w:rPr>
          <w:rFonts w:eastAsia="Calibri"/>
        </w:rPr>
      </w:pPr>
    </w:p>
    <w:p w14:paraId="04EDA965" w14:textId="0C06D6C7" w:rsidR="00AC7881" w:rsidRDefault="00AC7881" w:rsidP="00604D0F">
      <w:pPr>
        <w:ind w:left="5760"/>
        <w:jc w:val="center"/>
        <w:rPr>
          <w:rFonts w:eastAsia="Calibri"/>
        </w:rPr>
      </w:pPr>
    </w:p>
    <w:p w14:paraId="7D6A34EE" w14:textId="6E7D957F" w:rsidR="00AC7881" w:rsidRDefault="00AC7881" w:rsidP="00604D0F">
      <w:pPr>
        <w:ind w:left="5760"/>
        <w:jc w:val="center"/>
        <w:rPr>
          <w:rFonts w:eastAsia="Calibri"/>
        </w:rPr>
      </w:pPr>
    </w:p>
    <w:p w14:paraId="62DD2DAF" w14:textId="77777777" w:rsidR="00AC7881" w:rsidRDefault="00AC7881" w:rsidP="00604D0F">
      <w:pPr>
        <w:ind w:left="5760"/>
        <w:jc w:val="center"/>
        <w:rPr>
          <w:rFonts w:eastAsia="Calibri"/>
          <w:rtl/>
        </w:rPr>
      </w:pPr>
    </w:p>
    <w:p w14:paraId="031561FB" w14:textId="39B65FA6" w:rsidR="003A35C0" w:rsidRDefault="003A35C0" w:rsidP="00307E94">
      <w:pPr>
        <w:pStyle w:val="HeadDivreiHesber"/>
        <w:rPr>
          <w:rtl/>
        </w:rPr>
      </w:pPr>
      <w:bookmarkStart w:id="41" w:name="_Toc70357931"/>
      <w:bookmarkStart w:id="42" w:name="_Toc70357953"/>
      <w:bookmarkStart w:id="43" w:name="_Toc70425245"/>
      <w:r>
        <w:rPr>
          <w:rtl/>
        </w:rPr>
        <w:t>דברי הסבר</w:t>
      </w:r>
      <w:bookmarkEnd w:id="39"/>
      <w:bookmarkEnd w:id="40"/>
      <w:bookmarkEnd w:id="41"/>
      <w:bookmarkEnd w:id="42"/>
      <w:bookmarkEnd w:id="43"/>
    </w:p>
    <w:p w14:paraId="645DC124" w14:textId="77777777" w:rsidR="00B81DDE" w:rsidRPr="00CD34DB" w:rsidRDefault="00B81DDE" w:rsidP="00B81DDE">
      <w:r w:rsidRPr="00CD34DB">
        <w:rPr>
          <w:rtl/>
        </w:rPr>
        <w:t xml:space="preserve">פטור הסוג לכבילות קלות ערך, עוסק בהסדרים שוליים יחסית בשוק בו נערכו. הרציונל בבסיס פטור הסוג הוא שההשפעה התחרותית האפשרית כתוצאה מהסדרים אלו על השוק שבו הצדדים פועלים או על שווקים משיקים היא זניחה. ההנחה הבסיסית היא שהסכם </w:t>
      </w:r>
      <w:r w:rsidRPr="00CD34DB">
        <w:rPr>
          <w:rtl/>
        </w:rPr>
        <w:lastRenderedPageBreak/>
        <w:t>שנערך בין מי שחלקם המשותף בשוק הוא שולי יחסית וכן חלקם לא משמעותי בשווקים אחרים שבהם הצדדים מתחרים, לא יפגע בתחרות בשוק בכללותו שכן רובו המכריע של השוק מצוי מחוץ לתחולתו של ההסכם, והכל בכפוף לחריגים המפורטים בפטור עצמו.</w:t>
      </w:r>
    </w:p>
    <w:p w14:paraId="7BC76CC6" w14:textId="5DB26FAF" w:rsidR="00B81DDE" w:rsidRDefault="00B81DDE" w:rsidP="00B81DDE">
      <w:pPr>
        <w:rPr>
          <w:rtl/>
        </w:rPr>
      </w:pPr>
      <w:r w:rsidRPr="00CD34DB">
        <w:rPr>
          <w:rtl/>
        </w:rPr>
        <w:t xml:space="preserve">הפרמטר </w:t>
      </w:r>
      <w:r w:rsidRPr="00CD34DB">
        <w:rPr>
          <w:rFonts w:hint="cs"/>
          <w:rtl/>
        </w:rPr>
        <w:t>לאומד</w:t>
      </w:r>
      <w:r w:rsidRPr="00CD34DB">
        <w:rPr>
          <w:rFonts w:hint="eastAsia"/>
          <w:rtl/>
        </w:rPr>
        <w:t>ן</w:t>
      </w:r>
      <w:r w:rsidRPr="00CD34DB">
        <w:rPr>
          <w:rtl/>
        </w:rPr>
        <w:t xml:space="preserve"> שוליות ההסכם ביחס לשוק לגביו נחתם הוא נתח שוק של 15% מצרפי של כל הצדדים לו בכל אחד</w:t>
      </w:r>
      <w:r w:rsidR="00C773E3">
        <w:rPr>
          <w:rtl/>
        </w:rPr>
        <w:t xml:space="preserve"> משוקי המוצר שההסכם נוגע להם, ו</w:t>
      </w:r>
      <w:r w:rsidR="00C773E3">
        <w:rPr>
          <w:rFonts w:hint="cs"/>
          <w:rtl/>
        </w:rPr>
        <w:t>-</w:t>
      </w:r>
      <w:r w:rsidRPr="00CD34DB">
        <w:rPr>
          <w:rtl/>
        </w:rPr>
        <w:t>30% מצרפי של הצדדים להסדר (או חלקם) בשוקי מוצר בהם הם מתחרים, שההסדר אינו נוגע אליהם.</w:t>
      </w:r>
    </w:p>
    <w:p w14:paraId="2CA4DAF2" w14:textId="74A7A029" w:rsidR="00B81DDE" w:rsidRDefault="00B81DDE" w:rsidP="00B81DDE">
      <w:pPr>
        <w:rPr>
          <w:rtl/>
        </w:rPr>
      </w:pPr>
      <w:r>
        <w:rPr>
          <w:rFonts w:hint="cs"/>
          <w:rtl/>
        </w:rPr>
        <w:t xml:space="preserve">במסגרת התיקון מוצע לחדש </w:t>
      </w:r>
      <w:r w:rsidRPr="009A2549">
        <w:rPr>
          <w:rtl/>
        </w:rPr>
        <w:t>את פטור הסוג לתקופה של 5 שנים</w:t>
      </w:r>
      <w:r>
        <w:rPr>
          <w:rFonts w:hint="cs"/>
          <w:rtl/>
        </w:rPr>
        <w:t xml:space="preserve"> נוספות</w:t>
      </w:r>
      <w:r w:rsidRPr="009A2549">
        <w:rPr>
          <w:rtl/>
        </w:rPr>
        <w:t>. כן מוצע להתאים את נוסח הוראות פטור הסוג לתיקון מס' 21 לחוק במסגרתו שונה, בין היתר, שם החוק ל</w:t>
      </w:r>
      <w:r w:rsidR="00942C7F">
        <w:rPr>
          <w:rFonts w:hint="cs"/>
          <w:rtl/>
        </w:rPr>
        <w:t>"</w:t>
      </w:r>
      <w:r w:rsidRPr="009A2549">
        <w:rPr>
          <w:rtl/>
        </w:rPr>
        <w:t>חוק התחרות הכלכלית</w:t>
      </w:r>
      <w:r w:rsidR="00942C7F">
        <w:rPr>
          <w:rFonts w:hint="cs"/>
          <w:rtl/>
        </w:rPr>
        <w:t>"</w:t>
      </w:r>
      <w:r>
        <w:rPr>
          <w:rFonts w:hint="cs"/>
          <w:rtl/>
        </w:rPr>
        <w:t>, ושם בית הדין ל</w:t>
      </w:r>
      <w:r w:rsidR="00942C7F">
        <w:rPr>
          <w:rFonts w:hint="cs"/>
          <w:rtl/>
        </w:rPr>
        <w:t>"</w:t>
      </w:r>
      <w:r>
        <w:rPr>
          <w:rFonts w:hint="cs"/>
          <w:rtl/>
        </w:rPr>
        <w:t>בית הדין לתחרות</w:t>
      </w:r>
      <w:r w:rsidR="00942C7F">
        <w:rPr>
          <w:rFonts w:hint="cs"/>
          <w:rtl/>
        </w:rPr>
        <w:t>"</w:t>
      </w:r>
      <w:r>
        <w:rPr>
          <w:rFonts w:hint="cs"/>
          <w:rtl/>
        </w:rPr>
        <w:t>.</w:t>
      </w:r>
    </w:p>
    <w:p w14:paraId="5690B8DC" w14:textId="175E6543" w:rsidR="005863E8" w:rsidRPr="00604D0F" w:rsidRDefault="00BA56A6" w:rsidP="00C773E3">
      <w:pPr>
        <w:rPr>
          <w:b/>
          <w:bCs/>
          <w:rtl/>
        </w:rPr>
      </w:pPr>
      <w:r>
        <w:rPr>
          <w:rFonts w:hint="cs"/>
          <w:b/>
          <w:bCs/>
          <w:rtl/>
        </w:rPr>
        <w:t>סעי</w:t>
      </w:r>
      <w:r w:rsidR="00C773E3">
        <w:rPr>
          <w:rFonts w:hint="cs"/>
          <w:b/>
          <w:bCs/>
          <w:rtl/>
        </w:rPr>
        <w:t>ף 1</w:t>
      </w:r>
    </w:p>
    <w:p w14:paraId="16A94C63" w14:textId="0FEED773" w:rsidR="008D7DF7" w:rsidRDefault="008D7DF7" w:rsidP="00E2774E">
      <w:pPr>
        <w:rPr>
          <w:rtl/>
        </w:rPr>
      </w:pPr>
      <w:r>
        <w:rPr>
          <w:rFonts w:hint="cs"/>
          <w:rtl/>
        </w:rPr>
        <w:t>מוצע להתאים את נוסח הוראות פטור הסוג לתיקון מס' 21 לחוק התחרות הכלכלית, התשמ"ח-1988 במסגרת</w:t>
      </w:r>
      <w:r w:rsidR="00E2774E">
        <w:rPr>
          <w:rFonts w:hint="cs"/>
          <w:rtl/>
        </w:rPr>
        <w:t>ו</w:t>
      </w:r>
      <w:r>
        <w:rPr>
          <w:rFonts w:hint="cs"/>
          <w:rtl/>
        </w:rPr>
        <w:t xml:space="preserve"> שונה, בין היתר, שם החוק ל</w:t>
      </w:r>
      <w:r w:rsidR="00942C7F">
        <w:rPr>
          <w:rFonts w:hint="cs"/>
          <w:rtl/>
        </w:rPr>
        <w:t>"</w:t>
      </w:r>
      <w:r>
        <w:rPr>
          <w:rFonts w:hint="cs"/>
          <w:rtl/>
        </w:rPr>
        <w:t>חוק התחרות הכלכלית</w:t>
      </w:r>
      <w:r w:rsidR="00942C7F">
        <w:rPr>
          <w:rFonts w:hint="cs"/>
          <w:rtl/>
        </w:rPr>
        <w:t>"</w:t>
      </w:r>
      <w:r>
        <w:rPr>
          <w:rFonts w:hint="cs"/>
          <w:rtl/>
        </w:rPr>
        <w:t xml:space="preserve"> ושמו של בית הדין ל</w:t>
      </w:r>
      <w:r w:rsidR="00942C7F">
        <w:rPr>
          <w:rFonts w:hint="cs"/>
          <w:rtl/>
        </w:rPr>
        <w:t>"</w:t>
      </w:r>
      <w:r>
        <w:rPr>
          <w:rFonts w:hint="cs"/>
          <w:rtl/>
        </w:rPr>
        <w:t>בית הדין לתחרות</w:t>
      </w:r>
      <w:r w:rsidR="00942C7F">
        <w:rPr>
          <w:rFonts w:hint="cs"/>
          <w:rtl/>
        </w:rPr>
        <w:t>"</w:t>
      </w:r>
      <w:r>
        <w:rPr>
          <w:rFonts w:hint="cs"/>
          <w:rtl/>
        </w:rPr>
        <w:t>.</w:t>
      </w:r>
    </w:p>
    <w:p w14:paraId="009DCF65" w14:textId="052C90D7" w:rsidR="008D7DF7" w:rsidRDefault="00942C7F" w:rsidP="008D7DF7">
      <w:pPr>
        <w:rPr>
          <w:rtl/>
        </w:rPr>
      </w:pPr>
      <w:r>
        <w:rPr>
          <w:rFonts w:hint="cs"/>
          <w:b/>
          <w:bCs/>
          <w:rtl/>
        </w:rPr>
        <w:t>תוקף</w:t>
      </w:r>
    </w:p>
    <w:p w14:paraId="412A172E" w14:textId="77777777" w:rsidR="008D7DF7" w:rsidRDefault="008D7DF7" w:rsidP="008D7DF7">
      <w:r>
        <w:rPr>
          <w:rFonts w:hint="cs"/>
          <w:rtl/>
        </w:rPr>
        <w:t xml:space="preserve">מוצע לחדש את פטור הסוג לתקופה של 5 שנים וזאת לאור הניסיון שנצבר ברשות התחרות עד כה לפיו, למיטב הידיעה, </w:t>
      </w:r>
      <w:r w:rsidRPr="00CC4B65">
        <w:rPr>
          <w:rtl/>
        </w:rPr>
        <w:t>פטור הסוג אינו מעלה חששות לפגיעה בתחרות</w:t>
      </w:r>
      <w:r>
        <w:rPr>
          <w:rFonts w:hint="cs"/>
          <w:rtl/>
        </w:rPr>
        <w:t xml:space="preserve"> או בציבור.</w:t>
      </w:r>
    </w:p>
    <w:p w14:paraId="5F061A09" w14:textId="77777777" w:rsidR="00705762" w:rsidRPr="008D7DF7" w:rsidRDefault="00705762">
      <w:pPr>
        <w:rPr>
          <w:rtl/>
        </w:rPr>
      </w:pPr>
    </w:p>
    <w:p w14:paraId="0821C448" w14:textId="77777777" w:rsidR="004135B1" w:rsidRPr="00705762" w:rsidRDefault="004135B1"/>
    <w:sectPr w:rsidR="004135B1" w:rsidRPr="00705762" w:rsidSect="003A35C0">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E923B" w14:textId="77777777" w:rsidR="00656D11" w:rsidRDefault="00656D11" w:rsidP="00153312">
      <w:pPr>
        <w:spacing w:line="240" w:lineRule="auto"/>
      </w:pPr>
      <w:r>
        <w:separator/>
      </w:r>
    </w:p>
  </w:endnote>
  <w:endnote w:type="continuationSeparator" w:id="0">
    <w:p w14:paraId="04A79D75" w14:textId="77777777" w:rsidR="00656D11" w:rsidRDefault="00656D11" w:rsidP="001533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33F39" w14:textId="77777777" w:rsidR="00656D11" w:rsidRDefault="00656D11" w:rsidP="00F2001B">
      <w:pPr>
        <w:spacing w:line="240" w:lineRule="auto"/>
        <w:ind w:left="0"/>
      </w:pPr>
      <w:r>
        <w:separator/>
      </w:r>
    </w:p>
  </w:footnote>
  <w:footnote w:type="continuationSeparator" w:id="0">
    <w:p w14:paraId="0DF2D5E9" w14:textId="77777777" w:rsidR="00656D11" w:rsidRDefault="00656D11" w:rsidP="00153312">
      <w:pPr>
        <w:spacing w:line="240" w:lineRule="auto"/>
      </w:pPr>
      <w:r>
        <w:continuationSeparator/>
      </w:r>
    </w:p>
  </w:footnote>
  <w:footnote w:id="1">
    <w:p w14:paraId="50343761" w14:textId="77777777" w:rsidR="0034368F" w:rsidRDefault="0034368F">
      <w:pPr>
        <w:pStyle w:val="FootnoteText"/>
        <w:rPr>
          <w:rtl/>
        </w:rPr>
      </w:pPr>
      <w:r>
        <w:rPr>
          <w:rStyle w:val="FootnoteReference"/>
        </w:rPr>
        <w:footnoteRef/>
      </w:r>
      <w:r>
        <w:rPr>
          <w:rtl/>
        </w:rPr>
        <w:t xml:space="preserve"> </w:t>
      </w:r>
      <w:r w:rsidR="000E6627">
        <w:rPr>
          <w:rFonts w:hint="cs"/>
          <w:rtl/>
        </w:rPr>
        <w:t>ס"ח</w:t>
      </w:r>
      <w:r>
        <w:rPr>
          <w:rFonts w:hint="cs"/>
          <w:rtl/>
        </w:rPr>
        <w:t xml:space="preserve"> </w:t>
      </w:r>
      <w:proofErr w:type="spellStart"/>
      <w:r>
        <w:rPr>
          <w:rFonts w:hint="cs"/>
          <w:rtl/>
        </w:rPr>
        <w:t>התשמ"ח</w:t>
      </w:r>
      <w:proofErr w:type="spellEnd"/>
      <w:r>
        <w:rPr>
          <w:rFonts w:hint="cs"/>
          <w:rtl/>
        </w:rPr>
        <w:t xml:space="preserve">, עמ' 128; </w:t>
      </w:r>
      <w:proofErr w:type="spellStart"/>
      <w:r w:rsidR="00CC4B65">
        <w:rPr>
          <w:rFonts w:hint="cs"/>
          <w:rtl/>
        </w:rPr>
        <w:t>התש"ס</w:t>
      </w:r>
      <w:proofErr w:type="spellEnd"/>
      <w:r w:rsidR="00CC4B65">
        <w:rPr>
          <w:rFonts w:hint="cs"/>
          <w:rtl/>
        </w:rPr>
        <w:t xml:space="preserve">, עמ' 113. </w:t>
      </w:r>
    </w:p>
  </w:footnote>
  <w:footnote w:id="2">
    <w:p w14:paraId="7909F93C" w14:textId="6B6A533A" w:rsidR="00472EF6" w:rsidRDefault="00472EF6">
      <w:pPr>
        <w:pStyle w:val="FootnoteText"/>
        <w:rPr>
          <w:rtl/>
        </w:rPr>
      </w:pPr>
      <w:r>
        <w:rPr>
          <w:rStyle w:val="FootnoteReference"/>
        </w:rPr>
        <w:footnoteRef/>
      </w:r>
      <w:r>
        <w:rPr>
          <w:rtl/>
        </w:rPr>
        <w:t xml:space="preserve"> </w:t>
      </w:r>
      <w:proofErr w:type="spellStart"/>
      <w:r>
        <w:rPr>
          <w:rFonts w:hint="cs"/>
          <w:rtl/>
        </w:rPr>
        <w:t>ק"ת</w:t>
      </w:r>
      <w:proofErr w:type="spellEnd"/>
      <w:r>
        <w:rPr>
          <w:rFonts w:hint="cs"/>
          <w:rtl/>
        </w:rPr>
        <w:t xml:space="preserve"> תשס"ו, </w:t>
      </w:r>
      <w:r w:rsidR="008F5420">
        <w:rPr>
          <w:rFonts w:hint="cs"/>
          <w:rtl/>
        </w:rPr>
        <w:t>עמ' 796</w:t>
      </w:r>
      <w:r w:rsidR="008F5420">
        <w:t>;</w:t>
      </w:r>
      <w:r w:rsidR="008F5420">
        <w:rPr>
          <w:rFonts w:hint="cs"/>
          <w:rtl/>
        </w:rPr>
        <w:t xml:space="preserve"> </w:t>
      </w:r>
      <w:proofErr w:type="spellStart"/>
      <w:r w:rsidR="008F5420">
        <w:rPr>
          <w:rFonts w:hint="cs"/>
          <w:rtl/>
        </w:rPr>
        <w:t>ק"ת</w:t>
      </w:r>
      <w:proofErr w:type="spellEnd"/>
      <w:r w:rsidR="008F5420">
        <w:rPr>
          <w:rFonts w:hint="cs"/>
          <w:rtl/>
        </w:rPr>
        <w:t xml:space="preserve"> תשע"א, עמ' 845</w:t>
      </w:r>
      <w:r w:rsidR="008F5420">
        <w:t>;</w:t>
      </w:r>
      <w:r w:rsidR="008F5420">
        <w:rPr>
          <w:rFonts w:hint="cs"/>
          <w:rtl/>
        </w:rPr>
        <w:t xml:space="preserve"> </w:t>
      </w:r>
      <w:proofErr w:type="spellStart"/>
      <w:r w:rsidR="008F5420">
        <w:rPr>
          <w:rFonts w:hint="cs"/>
          <w:rtl/>
        </w:rPr>
        <w:t>ק"ת</w:t>
      </w:r>
      <w:proofErr w:type="spellEnd"/>
      <w:r w:rsidR="008F5420">
        <w:rPr>
          <w:rFonts w:hint="cs"/>
          <w:rtl/>
        </w:rPr>
        <w:t xml:space="preserve"> תשע"ו, עמ' 846</w:t>
      </w:r>
      <w:r w:rsidR="008F5420">
        <w:t>;</w:t>
      </w:r>
      <w:r w:rsidR="008F5420">
        <w:rPr>
          <w:rFonts w:hint="cs"/>
          <w:rtl/>
        </w:rPr>
        <w:t xml:space="preserve"> </w:t>
      </w:r>
      <w:proofErr w:type="spellStart"/>
      <w:r w:rsidR="008F5420">
        <w:rPr>
          <w:rFonts w:hint="cs"/>
          <w:rtl/>
        </w:rPr>
        <w:t>ק"ת</w:t>
      </w:r>
      <w:proofErr w:type="spellEnd"/>
      <w:r w:rsidR="008F5420">
        <w:rPr>
          <w:rFonts w:hint="cs"/>
          <w:rtl/>
        </w:rPr>
        <w:t xml:space="preserve"> תשע"ו, עמ' 2251.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943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A2EB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E00D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D24B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1685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CA2E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EA33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8CFF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38A5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85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6929B2"/>
    <w:multiLevelType w:val="hybridMultilevel"/>
    <w:tmpl w:val="76D444D4"/>
    <w:lvl w:ilvl="0" w:tplc="ACD4EAA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72A86"/>
    <w:multiLevelType w:val="hybridMultilevel"/>
    <w:tmpl w:val="0D5028AE"/>
    <w:lvl w:ilvl="0" w:tplc="FB92B186">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1CB325F9"/>
    <w:multiLevelType w:val="hybridMultilevel"/>
    <w:tmpl w:val="1464834C"/>
    <w:lvl w:ilvl="0" w:tplc="C554C8A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3FCE"/>
    <w:multiLevelType w:val="hybridMultilevel"/>
    <w:tmpl w:val="EFEE0606"/>
    <w:lvl w:ilvl="0" w:tplc="1D34DA38">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2BE"/>
    <w:multiLevelType w:val="hybridMultilevel"/>
    <w:tmpl w:val="D9ECE078"/>
    <w:lvl w:ilvl="0" w:tplc="6BCAB2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A2B35"/>
    <w:multiLevelType w:val="hybridMultilevel"/>
    <w:tmpl w:val="F61ADD04"/>
    <w:lvl w:ilvl="0" w:tplc="EFC26F30">
      <w:start w:val="1"/>
      <w:numFmt w:val="hebrew1"/>
      <w:pStyle w:val="Heading4"/>
      <w:suff w:val="space"/>
      <w:lvlText w:val="%1."/>
      <w:lvlJc w:val="left"/>
      <w:pPr>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40655"/>
    <w:multiLevelType w:val="hybridMultilevel"/>
    <w:tmpl w:val="1D8837F0"/>
    <w:lvl w:ilvl="0" w:tplc="6DB66824">
      <w:start w:val="1"/>
      <w:numFmt w:val="hebrew1"/>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B28B0"/>
    <w:multiLevelType w:val="hybridMultilevel"/>
    <w:tmpl w:val="41ACEA96"/>
    <w:lvl w:ilvl="0" w:tplc="06A8C010">
      <w:start w:val="1"/>
      <w:numFmt w:val="decimal"/>
      <w:pStyle w:val="TOC3"/>
      <w:lvlText w:val="%1."/>
      <w:lvlJc w:val="left"/>
      <w:pPr>
        <w:ind w:left="1287" w:hanging="360"/>
      </w:pPr>
      <w:rPr>
        <w:rFonts w:cs="David" w:hint="default"/>
        <w:bCs w:val="0"/>
        <w:iCs w:val="0"/>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C6F4C06"/>
    <w:multiLevelType w:val="hybridMultilevel"/>
    <w:tmpl w:val="A6D25086"/>
    <w:lvl w:ilvl="0" w:tplc="ECBEF3AC">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04768"/>
    <w:multiLevelType w:val="hybridMultilevel"/>
    <w:tmpl w:val="3A68FDC2"/>
    <w:lvl w:ilvl="0" w:tplc="5BFEA9E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3C544D"/>
    <w:multiLevelType w:val="hybridMultilevel"/>
    <w:tmpl w:val="C7443990"/>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813833"/>
    <w:multiLevelType w:val="hybridMultilevel"/>
    <w:tmpl w:val="92068260"/>
    <w:lvl w:ilvl="0" w:tplc="9C8AD86A">
      <w:start w:val="1"/>
      <w:numFmt w:val="decimal"/>
      <w:lvlRestart w:val="0"/>
      <w:lvlText w:val="(%1)"/>
      <w:lvlJc w:val="left"/>
      <w:pPr>
        <w:tabs>
          <w:tab w:val="num" w:pos="624"/>
        </w:tabs>
        <w:ind w:left="0" w:firstLine="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13"/>
  </w:num>
  <w:num w:numId="6">
    <w:abstractNumId w:val="23"/>
  </w:num>
  <w:num w:numId="7">
    <w:abstractNumId w:val="8"/>
  </w:num>
  <w:num w:numId="8">
    <w:abstractNumId w:val="3"/>
  </w:num>
  <w:num w:numId="9">
    <w:abstractNumId w:val="2"/>
  </w:num>
  <w:num w:numId="10">
    <w:abstractNumId w:val="1"/>
  </w:num>
  <w:num w:numId="11">
    <w:abstractNumId w:val="9"/>
  </w:num>
  <w:num w:numId="12">
    <w:abstractNumId w:val="7"/>
  </w:num>
  <w:num w:numId="13">
    <w:abstractNumId w:val="6"/>
  </w:num>
  <w:num w:numId="14">
    <w:abstractNumId w:val="5"/>
  </w:num>
  <w:num w:numId="15">
    <w:abstractNumId w:val="4"/>
  </w:num>
  <w:num w:numId="16">
    <w:abstractNumId w:val="16"/>
  </w:num>
  <w:num w:numId="17">
    <w:abstractNumId w:val="16"/>
    <w:lvlOverride w:ilvl="0">
      <w:startOverride w:val="1"/>
    </w:lvlOverride>
  </w:num>
  <w:num w:numId="18">
    <w:abstractNumId w:val="11"/>
  </w:num>
  <w:num w:numId="19">
    <w:abstractNumId w:val="18"/>
  </w:num>
  <w:num w:numId="20">
    <w:abstractNumId w:val="22"/>
  </w:num>
  <w:num w:numId="21">
    <w:abstractNumId w:val="19"/>
  </w:num>
  <w:num w:numId="22">
    <w:abstractNumId w:val="14"/>
  </w:num>
  <w:num w:numId="23">
    <w:abstractNumId w:val="20"/>
  </w:num>
  <w:num w:numId="24">
    <w:abstractNumId w:val="15"/>
  </w:num>
  <w:num w:numId="25">
    <w:abstractNumId w:val="17"/>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5C0"/>
    <w:rsid w:val="00037DDA"/>
    <w:rsid w:val="0005768A"/>
    <w:rsid w:val="00075987"/>
    <w:rsid w:val="000C3936"/>
    <w:rsid w:val="000E583D"/>
    <w:rsid w:val="000E6627"/>
    <w:rsid w:val="000F68A5"/>
    <w:rsid w:val="00102867"/>
    <w:rsid w:val="0011103E"/>
    <w:rsid w:val="00130DF3"/>
    <w:rsid w:val="00152C72"/>
    <w:rsid w:val="00153312"/>
    <w:rsid w:val="001A6E3E"/>
    <w:rsid w:val="001B3826"/>
    <w:rsid w:val="001B6E44"/>
    <w:rsid w:val="001C0B18"/>
    <w:rsid w:val="001C6153"/>
    <w:rsid w:val="001F029A"/>
    <w:rsid w:val="00201D80"/>
    <w:rsid w:val="00235BD6"/>
    <w:rsid w:val="002475CF"/>
    <w:rsid w:val="002539D7"/>
    <w:rsid w:val="00267192"/>
    <w:rsid w:val="002822AB"/>
    <w:rsid w:val="00286F55"/>
    <w:rsid w:val="002A67C0"/>
    <w:rsid w:val="002C23BC"/>
    <w:rsid w:val="002C287B"/>
    <w:rsid w:val="002C3CAB"/>
    <w:rsid w:val="002C5106"/>
    <w:rsid w:val="002D49B5"/>
    <w:rsid w:val="00310099"/>
    <w:rsid w:val="003431A9"/>
    <w:rsid w:val="0034368F"/>
    <w:rsid w:val="00371E07"/>
    <w:rsid w:val="00397C7B"/>
    <w:rsid w:val="003A35C0"/>
    <w:rsid w:val="004135B1"/>
    <w:rsid w:val="00414BF0"/>
    <w:rsid w:val="00416B8A"/>
    <w:rsid w:val="00440416"/>
    <w:rsid w:val="00444BB9"/>
    <w:rsid w:val="00472EF6"/>
    <w:rsid w:val="004B277F"/>
    <w:rsid w:val="004C7BA0"/>
    <w:rsid w:val="004D07F2"/>
    <w:rsid w:val="004D775C"/>
    <w:rsid w:val="00501382"/>
    <w:rsid w:val="00502B7A"/>
    <w:rsid w:val="005229C6"/>
    <w:rsid w:val="00527CE0"/>
    <w:rsid w:val="005549E7"/>
    <w:rsid w:val="00556FD8"/>
    <w:rsid w:val="005704BF"/>
    <w:rsid w:val="005863E8"/>
    <w:rsid w:val="00594075"/>
    <w:rsid w:val="005B36F5"/>
    <w:rsid w:val="005B6F37"/>
    <w:rsid w:val="005C1EA0"/>
    <w:rsid w:val="005D0997"/>
    <w:rsid w:val="005D6A11"/>
    <w:rsid w:val="005E7CCC"/>
    <w:rsid w:val="005F05CA"/>
    <w:rsid w:val="00604D0F"/>
    <w:rsid w:val="00606926"/>
    <w:rsid w:val="00647E4E"/>
    <w:rsid w:val="0065585A"/>
    <w:rsid w:val="00656D11"/>
    <w:rsid w:val="0065797C"/>
    <w:rsid w:val="00662ED4"/>
    <w:rsid w:val="006660FA"/>
    <w:rsid w:val="00671D29"/>
    <w:rsid w:val="00684C2B"/>
    <w:rsid w:val="006A5100"/>
    <w:rsid w:val="006B1CDF"/>
    <w:rsid w:val="006C1832"/>
    <w:rsid w:val="006C5CBC"/>
    <w:rsid w:val="006D403F"/>
    <w:rsid w:val="0070495E"/>
    <w:rsid w:val="00704B33"/>
    <w:rsid w:val="00705762"/>
    <w:rsid w:val="00706D5C"/>
    <w:rsid w:val="00734F58"/>
    <w:rsid w:val="00740470"/>
    <w:rsid w:val="007779D9"/>
    <w:rsid w:val="0079386D"/>
    <w:rsid w:val="007A1E34"/>
    <w:rsid w:val="007A2CB6"/>
    <w:rsid w:val="007D0B53"/>
    <w:rsid w:val="007D307A"/>
    <w:rsid w:val="007D36E2"/>
    <w:rsid w:val="00851026"/>
    <w:rsid w:val="00861F79"/>
    <w:rsid w:val="008739AA"/>
    <w:rsid w:val="008A1603"/>
    <w:rsid w:val="008B73BD"/>
    <w:rsid w:val="008C120B"/>
    <w:rsid w:val="008D7DF7"/>
    <w:rsid w:val="008F5420"/>
    <w:rsid w:val="00942C7F"/>
    <w:rsid w:val="009433F4"/>
    <w:rsid w:val="00964E02"/>
    <w:rsid w:val="00977415"/>
    <w:rsid w:val="00985022"/>
    <w:rsid w:val="009B735E"/>
    <w:rsid w:val="009D395E"/>
    <w:rsid w:val="009D6AF9"/>
    <w:rsid w:val="009E0B90"/>
    <w:rsid w:val="009F1541"/>
    <w:rsid w:val="00A750DA"/>
    <w:rsid w:val="00A91778"/>
    <w:rsid w:val="00A94893"/>
    <w:rsid w:val="00AB796A"/>
    <w:rsid w:val="00AC11D2"/>
    <w:rsid w:val="00AC3A13"/>
    <w:rsid w:val="00AC7881"/>
    <w:rsid w:val="00B65006"/>
    <w:rsid w:val="00B700D2"/>
    <w:rsid w:val="00B80E80"/>
    <w:rsid w:val="00B81DDE"/>
    <w:rsid w:val="00BA3935"/>
    <w:rsid w:val="00BA56A6"/>
    <w:rsid w:val="00BF531C"/>
    <w:rsid w:val="00C0306D"/>
    <w:rsid w:val="00C2288F"/>
    <w:rsid w:val="00C34393"/>
    <w:rsid w:val="00C375E3"/>
    <w:rsid w:val="00C773E3"/>
    <w:rsid w:val="00C93965"/>
    <w:rsid w:val="00C95061"/>
    <w:rsid w:val="00CA2C52"/>
    <w:rsid w:val="00CA76D4"/>
    <w:rsid w:val="00CC4B65"/>
    <w:rsid w:val="00CD3211"/>
    <w:rsid w:val="00CD34DB"/>
    <w:rsid w:val="00CD60A7"/>
    <w:rsid w:val="00CD7320"/>
    <w:rsid w:val="00CF48B5"/>
    <w:rsid w:val="00D05AA0"/>
    <w:rsid w:val="00D12397"/>
    <w:rsid w:val="00D2360F"/>
    <w:rsid w:val="00D26214"/>
    <w:rsid w:val="00D26FA2"/>
    <w:rsid w:val="00D465B0"/>
    <w:rsid w:val="00D4798B"/>
    <w:rsid w:val="00D606C6"/>
    <w:rsid w:val="00DA5591"/>
    <w:rsid w:val="00DD31B7"/>
    <w:rsid w:val="00DD7CCB"/>
    <w:rsid w:val="00DE205F"/>
    <w:rsid w:val="00DF3CD7"/>
    <w:rsid w:val="00E2774E"/>
    <w:rsid w:val="00E33B89"/>
    <w:rsid w:val="00E37644"/>
    <w:rsid w:val="00E82F2F"/>
    <w:rsid w:val="00E95BDD"/>
    <w:rsid w:val="00EA683A"/>
    <w:rsid w:val="00ED1CF3"/>
    <w:rsid w:val="00ED2DA9"/>
    <w:rsid w:val="00ED3397"/>
    <w:rsid w:val="00ED6054"/>
    <w:rsid w:val="00ED7659"/>
    <w:rsid w:val="00F12154"/>
    <w:rsid w:val="00F2001B"/>
    <w:rsid w:val="00F33890"/>
    <w:rsid w:val="00F573EC"/>
    <w:rsid w:val="00F61F3C"/>
    <w:rsid w:val="00F810F5"/>
    <w:rsid w:val="00F94817"/>
    <w:rsid w:val="00FA200F"/>
    <w:rsid w:val="00FC6A5F"/>
    <w:rsid w:val="00FE71D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B61DA"/>
  <w15:chartTrackingRefBased/>
  <w15:docId w15:val="{4E41FBFF-964E-4E5F-8FB6-ED934000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6F5"/>
    <w:pPr>
      <w:widowControl w:val="0"/>
      <w:bidi/>
      <w:spacing w:after="0" w:line="360" w:lineRule="auto"/>
      <w:ind w:left="340"/>
      <w:contextualSpacing/>
      <w:jc w:val="both"/>
    </w:pPr>
    <w:rPr>
      <w:rFonts w:ascii="David" w:hAnsi="David" w:cs="David"/>
      <w:sz w:val="24"/>
      <w:szCs w:val="24"/>
    </w:rPr>
  </w:style>
  <w:style w:type="paragraph" w:styleId="Heading1">
    <w:name w:val="heading 1"/>
    <w:basedOn w:val="Normal"/>
    <w:next w:val="Normal"/>
    <w:link w:val="Heading1Char"/>
    <w:uiPriority w:val="9"/>
    <w:qFormat/>
    <w:rsid w:val="005B36F5"/>
    <w:pPr>
      <w:keepNext/>
      <w:keepLines/>
      <w:spacing w:before="240"/>
      <w:jc w:val="center"/>
      <w:outlineLvl w:val="0"/>
    </w:pPr>
    <w:rPr>
      <w:rFonts w:asciiTheme="majorHAnsi" w:eastAsiaTheme="majorEastAsia" w:hAnsiTheme="majorHAnsi"/>
      <w:bCs/>
      <w:sz w:val="32"/>
      <w:szCs w:val="36"/>
    </w:rPr>
  </w:style>
  <w:style w:type="paragraph" w:styleId="Heading2">
    <w:name w:val="heading 2"/>
    <w:basedOn w:val="Normal"/>
    <w:next w:val="Normal"/>
    <w:link w:val="Heading2Char"/>
    <w:unhideWhenUsed/>
    <w:qFormat/>
    <w:rsid w:val="005B36F5"/>
    <w:pPr>
      <w:ind w:left="0"/>
      <w:jc w:val="left"/>
      <w:outlineLvl w:val="1"/>
    </w:pPr>
    <w:rPr>
      <w:rFonts w:asciiTheme="majorHAnsi" w:eastAsiaTheme="majorEastAsia" w:hAnsiTheme="majorHAnsi"/>
      <w:bCs/>
      <w:sz w:val="26"/>
      <w:szCs w:val="36"/>
      <w:u w:val="single"/>
    </w:rPr>
  </w:style>
  <w:style w:type="paragraph" w:styleId="Heading3">
    <w:name w:val="heading 3"/>
    <w:basedOn w:val="Normal"/>
    <w:next w:val="Normal"/>
    <w:link w:val="Heading3Char"/>
    <w:unhideWhenUsed/>
    <w:qFormat/>
    <w:rsid w:val="005B36F5"/>
    <w:pPr>
      <w:spacing w:before="40"/>
      <w:ind w:left="0"/>
      <w:jc w:val="left"/>
      <w:outlineLvl w:val="2"/>
    </w:pPr>
    <w:rPr>
      <w:rFonts w:asciiTheme="majorHAnsi" w:eastAsiaTheme="majorEastAsia" w:hAnsiTheme="majorHAnsi"/>
      <w:szCs w:val="28"/>
      <w:u w:val="double"/>
    </w:rPr>
  </w:style>
  <w:style w:type="paragraph" w:styleId="Heading4">
    <w:name w:val="heading 4"/>
    <w:basedOn w:val="Normal"/>
    <w:next w:val="Normal"/>
    <w:link w:val="Heading4Char"/>
    <w:uiPriority w:val="9"/>
    <w:unhideWhenUsed/>
    <w:qFormat/>
    <w:rsid w:val="005B36F5"/>
    <w:pPr>
      <w:numPr>
        <w:numId w:val="1"/>
      </w:numPr>
      <w:spacing w:before="40" w:after="120"/>
      <w:outlineLvl w:val="3"/>
    </w:pPr>
    <w:rPr>
      <w:b/>
      <w:bCs/>
      <w:color w:val="000000" w:themeColor="text1"/>
      <w:szCs w:val="28"/>
    </w:rPr>
  </w:style>
  <w:style w:type="paragraph" w:styleId="Heading5">
    <w:name w:val="heading 5"/>
    <w:basedOn w:val="Normal"/>
    <w:next w:val="Normal"/>
    <w:link w:val="Heading5Char"/>
    <w:uiPriority w:val="9"/>
    <w:unhideWhenUsed/>
    <w:qFormat/>
    <w:rsid w:val="005B36F5"/>
    <w:pPr>
      <w:spacing w:line="259" w:lineRule="auto"/>
      <w:outlineLvl w:val="4"/>
    </w:pPr>
    <w:rPr>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6F5"/>
    <w:rPr>
      <w:rFonts w:asciiTheme="majorHAnsi" w:eastAsiaTheme="majorEastAsia" w:hAnsiTheme="majorHAnsi" w:cs="David"/>
      <w:bCs/>
      <w:sz w:val="32"/>
      <w:szCs w:val="36"/>
    </w:rPr>
  </w:style>
  <w:style w:type="character" w:customStyle="1" w:styleId="Heading4Char">
    <w:name w:val="Heading 4 Char"/>
    <w:basedOn w:val="DefaultParagraphFont"/>
    <w:link w:val="Heading4"/>
    <w:uiPriority w:val="9"/>
    <w:rsid w:val="005B36F5"/>
    <w:rPr>
      <w:rFonts w:ascii="David" w:hAnsi="David" w:cs="David"/>
      <w:b/>
      <w:bCs/>
      <w:color w:val="000000" w:themeColor="text1"/>
      <w:sz w:val="24"/>
      <w:szCs w:val="28"/>
    </w:rPr>
  </w:style>
  <w:style w:type="paragraph" w:customStyle="1" w:styleId="TableText">
    <w:name w:val="Table Text"/>
    <w:basedOn w:val="Normal"/>
    <w:rsid w:val="005B36F5"/>
    <w:pPr>
      <w:keepLines/>
      <w:tabs>
        <w:tab w:val="left" w:pos="624"/>
        <w:tab w:val="left" w:pos="1247"/>
      </w:tabs>
      <w:snapToGrid w:val="0"/>
      <w:ind w:left="0"/>
      <w:jc w:val="left"/>
    </w:pPr>
    <w:rPr>
      <w:rFonts w:ascii="Arial" w:eastAsia="Arial Unicode MS" w:hAnsi="Arial"/>
      <w:snapToGrid w:val="0"/>
      <w:sz w:val="20"/>
      <w:szCs w:val="26"/>
    </w:rPr>
  </w:style>
  <w:style w:type="paragraph" w:customStyle="1" w:styleId="TableSideHeading">
    <w:name w:val="Table SideHeading"/>
    <w:basedOn w:val="TableText"/>
    <w:rsid w:val="005B36F5"/>
    <w:pPr>
      <w:outlineLvl w:val="2"/>
    </w:pPr>
  </w:style>
  <w:style w:type="paragraph" w:customStyle="1" w:styleId="TableBlock">
    <w:name w:val="Table Block"/>
    <w:basedOn w:val="TableText"/>
    <w:rsid w:val="005B36F5"/>
    <w:pPr>
      <w:jc w:val="both"/>
    </w:pPr>
  </w:style>
  <w:style w:type="paragraph" w:customStyle="1" w:styleId="TableHead">
    <w:name w:val="Table Head"/>
    <w:basedOn w:val="TableText"/>
    <w:rsid w:val="005B36F5"/>
    <w:pPr>
      <w:jc w:val="center"/>
      <w:outlineLvl w:val="1"/>
    </w:pPr>
    <w:rPr>
      <w:b/>
      <w:bCs/>
    </w:rPr>
  </w:style>
  <w:style w:type="paragraph" w:customStyle="1" w:styleId="HeadMitparsemetBaze">
    <w:name w:val="Head MitparsemetBaze"/>
    <w:basedOn w:val="Normal"/>
    <w:rsid w:val="005B36F5"/>
    <w:pPr>
      <w:keepNext/>
      <w:keepLines/>
      <w:pageBreakBefore/>
      <w:snapToGrid w:val="0"/>
      <w:spacing w:before="480"/>
    </w:pPr>
    <w:rPr>
      <w:rFonts w:ascii="Arial" w:eastAsia="Arial Unicode MS" w:hAnsi="Arial"/>
      <w:b/>
      <w:bCs/>
      <w:snapToGrid w:val="0"/>
      <w:sz w:val="20"/>
      <w:szCs w:val="26"/>
    </w:rPr>
  </w:style>
  <w:style w:type="paragraph" w:customStyle="1" w:styleId="HeadHatzaotHok">
    <w:name w:val="Head HatzaotHok"/>
    <w:basedOn w:val="Normal"/>
    <w:rsid w:val="005B36F5"/>
    <w:pPr>
      <w:keepNext/>
      <w:keepLines/>
      <w:snapToGrid w:val="0"/>
      <w:spacing w:before="240"/>
      <w:jc w:val="center"/>
      <w:outlineLvl w:val="0"/>
    </w:pPr>
    <w:rPr>
      <w:rFonts w:ascii="Arial" w:eastAsia="Arial Unicode MS" w:hAnsi="Arial"/>
      <w:b/>
      <w:bCs/>
      <w:snapToGrid w:val="0"/>
      <w:sz w:val="20"/>
      <w:szCs w:val="26"/>
    </w:rPr>
  </w:style>
  <w:style w:type="paragraph" w:customStyle="1" w:styleId="HeadDivreiHesber">
    <w:name w:val="Head DivreiHesber"/>
    <w:basedOn w:val="Normal"/>
    <w:rsid w:val="005B36F5"/>
    <w:pPr>
      <w:snapToGrid w:val="0"/>
      <w:spacing w:before="360" w:after="120"/>
      <w:jc w:val="center"/>
      <w:outlineLvl w:val="1"/>
    </w:pPr>
    <w:rPr>
      <w:rFonts w:ascii="Arial" w:eastAsia="Arial Unicode MS" w:hAnsi="Arial"/>
      <w:b/>
      <w:snapToGrid w:val="0"/>
      <w:spacing w:val="40"/>
      <w:sz w:val="20"/>
      <w:szCs w:val="26"/>
    </w:rPr>
  </w:style>
  <w:style w:type="character" w:customStyle="1" w:styleId="Heading2Char">
    <w:name w:val="Heading 2 Char"/>
    <w:basedOn w:val="DefaultParagraphFont"/>
    <w:link w:val="Heading2"/>
    <w:rsid w:val="005B36F5"/>
    <w:rPr>
      <w:rFonts w:asciiTheme="majorHAnsi" w:eastAsiaTheme="majorEastAsia" w:hAnsiTheme="majorHAnsi" w:cs="David"/>
      <w:bCs/>
      <w:sz w:val="26"/>
      <w:szCs w:val="36"/>
      <w:u w:val="single"/>
    </w:rPr>
  </w:style>
  <w:style w:type="character" w:customStyle="1" w:styleId="Heading3Char">
    <w:name w:val="Heading 3 Char"/>
    <w:basedOn w:val="DefaultParagraphFont"/>
    <w:link w:val="Heading3"/>
    <w:rsid w:val="005B36F5"/>
    <w:rPr>
      <w:rFonts w:asciiTheme="majorHAnsi" w:eastAsiaTheme="majorEastAsia" w:hAnsiTheme="majorHAnsi" w:cs="David"/>
      <w:sz w:val="24"/>
      <w:szCs w:val="28"/>
      <w:u w:val="double"/>
    </w:rPr>
  </w:style>
  <w:style w:type="character" w:customStyle="1" w:styleId="Heading5Char">
    <w:name w:val="Heading 5 Char"/>
    <w:basedOn w:val="DefaultParagraphFont"/>
    <w:link w:val="Heading5"/>
    <w:uiPriority w:val="9"/>
    <w:rsid w:val="005B36F5"/>
    <w:rPr>
      <w:rFonts w:ascii="David" w:hAnsi="David" w:cs="David"/>
      <w:color w:val="000000" w:themeColor="text1"/>
      <w:sz w:val="24"/>
      <w:szCs w:val="24"/>
    </w:rPr>
  </w:style>
  <w:style w:type="paragraph" w:customStyle="1" w:styleId="HeadHatzaotHok4Futer">
    <w:name w:val="Head HatzaotHok4Futer"/>
    <w:basedOn w:val="HeadHatzaotHok"/>
    <w:rsid w:val="005B36F5"/>
    <w:pPr>
      <w:spacing w:before="120" w:after="120"/>
    </w:pPr>
    <w:rPr>
      <w:color w:val="FF0000"/>
      <w:w w:val="80"/>
    </w:rPr>
  </w:style>
  <w:style w:type="paragraph" w:styleId="EndnoteText">
    <w:name w:val="endnote text"/>
    <w:basedOn w:val="Normal"/>
    <w:link w:val="EndnoteTextChar"/>
    <w:semiHidden/>
    <w:rsid w:val="005B36F5"/>
    <w:pPr>
      <w:ind w:left="227" w:hanging="227"/>
    </w:pPr>
    <w:rPr>
      <w:sz w:val="14"/>
      <w:szCs w:val="22"/>
    </w:rPr>
  </w:style>
  <w:style w:type="character" w:customStyle="1" w:styleId="EndnoteTextChar">
    <w:name w:val="Endnote Text Char"/>
    <w:basedOn w:val="DefaultParagraphFont"/>
    <w:link w:val="EndnoteText"/>
    <w:semiHidden/>
    <w:rsid w:val="003A35C0"/>
    <w:rPr>
      <w:rFonts w:ascii="David" w:hAnsi="David" w:cs="David"/>
      <w:sz w:val="14"/>
    </w:rPr>
  </w:style>
  <w:style w:type="paragraph" w:customStyle="1" w:styleId="TableInnerSideHeading">
    <w:name w:val="Table InnerSideHeading"/>
    <w:basedOn w:val="TableSideHeading"/>
    <w:rsid w:val="005B36F5"/>
    <w:pPr>
      <w:outlineLvl w:val="9"/>
    </w:pPr>
  </w:style>
  <w:style w:type="paragraph" w:customStyle="1" w:styleId="Hesber">
    <w:name w:val="Hesber"/>
    <w:basedOn w:val="Normal"/>
    <w:rsid w:val="005B36F5"/>
    <w:pPr>
      <w:snapToGrid w:val="0"/>
      <w:ind w:left="0" w:firstLine="340"/>
    </w:pPr>
    <w:rPr>
      <w:rFonts w:ascii="Arial" w:eastAsia="Arial Unicode MS" w:hAnsi="Arial"/>
      <w:snapToGrid w:val="0"/>
      <w:sz w:val="20"/>
      <w:szCs w:val="26"/>
    </w:rPr>
  </w:style>
  <w:style w:type="paragraph" w:styleId="FootnoteText">
    <w:name w:val="footnote text"/>
    <w:basedOn w:val="Normal"/>
    <w:link w:val="FootnoteTextChar"/>
    <w:autoRedefine/>
    <w:semiHidden/>
    <w:rsid w:val="005B36F5"/>
    <w:pPr>
      <w:snapToGrid w:val="0"/>
      <w:spacing w:line="240" w:lineRule="auto"/>
      <w:ind w:left="0"/>
      <w:jc w:val="left"/>
    </w:pPr>
    <w:rPr>
      <w:rFonts w:ascii="Arial" w:eastAsia="Arial Unicode MS" w:hAnsi="Arial"/>
      <w:snapToGrid w:val="0"/>
      <w:sz w:val="14"/>
      <w:szCs w:val="20"/>
    </w:rPr>
  </w:style>
  <w:style w:type="character" w:customStyle="1" w:styleId="FootnoteTextChar">
    <w:name w:val="Footnote Text Char"/>
    <w:basedOn w:val="DefaultParagraphFont"/>
    <w:link w:val="FootnoteText"/>
    <w:semiHidden/>
    <w:rsid w:val="003A35C0"/>
    <w:rPr>
      <w:rFonts w:ascii="Arial" w:eastAsia="Arial Unicode MS" w:hAnsi="Arial" w:cs="David"/>
      <w:snapToGrid w:val="0"/>
      <w:sz w:val="14"/>
      <w:szCs w:val="20"/>
    </w:rPr>
  </w:style>
  <w:style w:type="character" w:styleId="FootnoteReference">
    <w:name w:val="footnote reference"/>
    <w:basedOn w:val="DefaultParagraphFont"/>
    <w:semiHidden/>
    <w:rsid w:val="005B36F5"/>
    <w:rPr>
      <w:vertAlign w:val="superscript"/>
    </w:rPr>
  </w:style>
  <w:style w:type="paragraph" w:customStyle="1" w:styleId="HesberHeading">
    <w:name w:val="Hesber Heading"/>
    <w:basedOn w:val="Hesber"/>
    <w:rsid w:val="005B36F5"/>
    <w:pPr>
      <w:tabs>
        <w:tab w:val="left" w:pos="624"/>
        <w:tab w:val="left" w:pos="1247"/>
      </w:tabs>
    </w:pPr>
    <w:rPr>
      <w:b/>
      <w:bCs/>
    </w:rPr>
  </w:style>
  <w:style w:type="paragraph" w:customStyle="1" w:styleId="HesberWriters">
    <w:name w:val="Hesber Writers"/>
    <w:basedOn w:val="Hesber"/>
    <w:rsid w:val="005B36F5"/>
    <w:pPr>
      <w:spacing w:before="120" w:after="120"/>
      <w:ind w:left="1418"/>
      <w:jc w:val="right"/>
    </w:pPr>
    <w:rPr>
      <w:b/>
      <w:bCs/>
    </w:rPr>
  </w:style>
  <w:style w:type="paragraph" w:customStyle="1" w:styleId="Hesber1st">
    <w:name w:val="Hesber 1st"/>
    <w:basedOn w:val="Hesber"/>
    <w:rsid w:val="005B36F5"/>
    <w:pPr>
      <w:tabs>
        <w:tab w:val="left" w:pos="680"/>
        <w:tab w:val="left" w:pos="1020"/>
      </w:tabs>
      <w:ind w:firstLine="0"/>
    </w:pPr>
  </w:style>
  <w:style w:type="character" w:styleId="EndnoteReference">
    <w:name w:val="endnote reference"/>
    <w:basedOn w:val="DefaultParagraphFont"/>
    <w:semiHidden/>
    <w:rsid w:val="005B36F5"/>
    <w:rPr>
      <w:vertAlign w:val="superscript"/>
    </w:rPr>
  </w:style>
  <w:style w:type="paragraph" w:customStyle="1" w:styleId="TableBlockOutdent">
    <w:name w:val="Table BlockOutdent"/>
    <w:basedOn w:val="TableBlock"/>
    <w:rsid w:val="005B36F5"/>
    <w:pPr>
      <w:ind w:left="624" w:hanging="624"/>
    </w:pPr>
  </w:style>
  <w:style w:type="paragraph" w:styleId="Header">
    <w:name w:val="header"/>
    <w:basedOn w:val="Normal"/>
    <w:link w:val="HeaderChar"/>
    <w:rsid w:val="005B36F5"/>
    <w:pPr>
      <w:tabs>
        <w:tab w:val="center" w:pos="4153"/>
        <w:tab w:val="right" w:pos="8306"/>
      </w:tabs>
    </w:pPr>
  </w:style>
  <w:style w:type="character" w:customStyle="1" w:styleId="HeaderChar">
    <w:name w:val="Header Char"/>
    <w:basedOn w:val="DefaultParagraphFont"/>
    <w:link w:val="Header"/>
    <w:rsid w:val="003A35C0"/>
    <w:rPr>
      <w:rFonts w:ascii="David" w:hAnsi="David" w:cs="David"/>
      <w:sz w:val="24"/>
      <w:szCs w:val="24"/>
    </w:rPr>
  </w:style>
  <w:style w:type="paragraph" w:styleId="Footer">
    <w:name w:val="footer"/>
    <w:basedOn w:val="Normal"/>
    <w:link w:val="FooterChar"/>
    <w:rsid w:val="005B36F5"/>
    <w:pPr>
      <w:tabs>
        <w:tab w:val="center" w:pos="4153"/>
        <w:tab w:val="right" w:pos="8306"/>
      </w:tabs>
    </w:pPr>
  </w:style>
  <w:style w:type="character" w:customStyle="1" w:styleId="FooterChar">
    <w:name w:val="Footer Char"/>
    <w:basedOn w:val="DefaultParagraphFont"/>
    <w:link w:val="Footer"/>
    <w:rsid w:val="003A35C0"/>
    <w:rPr>
      <w:rFonts w:ascii="David" w:hAnsi="David" w:cs="David"/>
      <w:sz w:val="24"/>
      <w:szCs w:val="24"/>
    </w:rPr>
  </w:style>
  <w:style w:type="character" w:styleId="PageNumber">
    <w:name w:val="page number"/>
    <w:basedOn w:val="DefaultParagraphFont"/>
    <w:rsid w:val="005B36F5"/>
  </w:style>
  <w:style w:type="paragraph" w:customStyle="1" w:styleId="Cover1-Reshumot">
    <w:name w:val="Cover 1-Reshumot"/>
    <w:basedOn w:val="Normal"/>
    <w:rsid w:val="005B36F5"/>
    <w:pPr>
      <w:tabs>
        <w:tab w:val="left" w:pos="1191"/>
        <w:tab w:val="left" w:pos="1587"/>
      </w:tabs>
      <w:snapToGrid w:val="0"/>
      <w:spacing w:before="240" w:after="240" w:line="480" w:lineRule="auto"/>
      <w:jc w:val="center"/>
    </w:pPr>
    <w:rPr>
      <w:rFonts w:ascii="Arial" w:eastAsia="Arial Unicode MS" w:hAnsi="Arial"/>
      <w:snapToGrid w:val="0"/>
      <w:sz w:val="20"/>
      <w:szCs w:val="26"/>
    </w:rPr>
  </w:style>
  <w:style w:type="paragraph" w:customStyle="1" w:styleId="Cover2-HatzaotHok">
    <w:name w:val="Cover 2-HatzaotHok"/>
    <w:basedOn w:val="Cover1-Reshumot"/>
    <w:rsid w:val="005B36F5"/>
    <w:rPr>
      <w:sz w:val="36"/>
      <w:szCs w:val="52"/>
    </w:rPr>
  </w:style>
  <w:style w:type="paragraph" w:customStyle="1" w:styleId="Cover3-Haknesset">
    <w:name w:val="Cover 3-Haknesset"/>
    <w:basedOn w:val="Cover1-Reshumot"/>
    <w:rsid w:val="005B36F5"/>
    <w:rPr>
      <w:b/>
      <w:bCs/>
      <w:spacing w:val="60"/>
    </w:rPr>
  </w:style>
  <w:style w:type="paragraph" w:customStyle="1" w:styleId="Cover4-Date">
    <w:name w:val="Cover 4-Date"/>
    <w:basedOn w:val="Normal"/>
    <w:rsid w:val="005B36F5"/>
    <w:pPr>
      <w:pBdr>
        <w:bottom w:val="single" w:sz="4" w:space="0" w:color="auto"/>
      </w:pBdr>
      <w:tabs>
        <w:tab w:val="center" w:pos="4820"/>
        <w:tab w:val="right" w:pos="9639"/>
      </w:tabs>
      <w:snapToGrid w:val="0"/>
      <w:spacing w:before="240" w:after="240"/>
      <w:jc w:val="left"/>
    </w:pPr>
    <w:rPr>
      <w:rFonts w:ascii="Arial" w:eastAsia="Arial Unicode MS" w:hAnsi="Arial"/>
      <w:snapToGrid w:val="0"/>
      <w:sz w:val="20"/>
      <w:szCs w:val="26"/>
    </w:rPr>
  </w:style>
  <w:style w:type="paragraph" w:customStyle="1" w:styleId="Ragil">
    <w:name w:val="Ragil"/>
    <w:basedOn w:val="Normal"/>
    <w:rsid w:val="005B36F5"/>
    <w:pPr>
      <w:snapToGrid w:val="0"/>
      <w:jc w:val="left"/>
    </w:pPr>
    <w:rPr>
      <w:rFonts w:ascii="Arial" w:eastAsia="Arial Unicode MS" w:hAnsi="Arial"/>
      <w:snapToGrid w:val="0"/>
      <w:sz w:val="20"/>
      <w:szCs w:val="26"/>
    </w:rPr>
  </w:style>
  <w:style w:type="paragraph" w:styleId="TOCHeading">
    <w:name w:val="TOC Heading"/>
    <w:basedOn w:val="Heading1"/>
    <w:next w:val="Normal"/>
    <w:uiPriority w:val="39"/>
    <w:unhideWhenUsed/>
    <w:qFormat/>
    <w:rsid w:val="005B36F5"/>
    <w:pPr>
      <w:widowControl/>
      <w:spacing w:before="120" w:after="120"/>
      <w:outlineLvl w:val="9"/>
    </w:pPr>
    <w:rPr>
      <w:rtl/>
      <w:cs/>
    </w:rPr>
  </w:style>
  <w:style w:type="paragraph" w:styleId="TOC1">
    <w:name w:val="toc 1"/>
    <w:basedOn w:val="Normal"/>
    <w:next w:val="Normal"/>
    <w:autoRedefine/>
    <w:uiPriority w:val="39"/>
    <w:unhideWhenUsed/>
    <w:rsid w:val="005B36F5"/>
    <w:pPr>
      <w:tabs>
        <w:tab w:val="right" w:leader="dot" w:pos="9629"/>
      </w:tabs>
      <w:spacing w:after="100"/>
    </w:pPr>
    <w:rPr>
      <w:bCs/>
      <w:szCs w:val="22"/>
    </w:rPr>
  </w:style>
  <w:style w:type="paragraph" w:styleId="TOC2">
    <w:name w:val="toc 2"/>
    <w:basedOn w:val="Normal"/>
    <w:next w:val="Normal"/>
    <w:uiPriority w:val="39"/>
    <w:unhideWhenUsed/>
    <w:rsid w:val="005B36F5"/>
    <w:pPr>
      <w:tabs>
        <w:tab w:val="right" w:leader="dot" w:pos="9628"/>
      </w:tabs>
      <w:spacing w:after="100"/>
    </w:pPr>
    <w:rPr>
      <w:szCs w:val="22"/>
    </w:rPr>
  </w:style>
  <w:style w:type="character" w:styleId="Hyperlink">
    <w:name w:val="Hyperlink"/>
    <w:basedOn w:val="DefaultParagraphFont"/>
    <w:uiPriority w:val="99"/>
    <w:unhideWhenUsed/>
    <w:rsid w:val="005B36F5"/>
    <w:rPr>
      <w:color w:val="0563C1" w:themeColor="hyperlink"/>
      <w:u w:val="single"/>
    </w:rPr>
  </w:style>
  <w:style w:type="paragraph" w:styleId="TOC3">
    <w:name w:val="toc 3"/>
    <w:basedOn w:val="Normal"/>
    <w:next w:val="Normal"/>
    <w:uiPriority w:val="39"/>
    <w:unhideWhenUsed/>
    <w:rsid w:val="005B36F5"/>
    <w:pPr>
      <w:numPr>
        <w:numId w:val="19"/>
      </w:numPr>
      <w:tabs>
        <w:tab w:val="right" w:leader="dot" w:pos="9629"/>
      </w:tabs>
      <w:spacing w:after="100"/>
      <w:ind w:left="811" w:hanging="357"/>
    </w:pPr>
    <w:rPr>
      <w:szCs w:val="22"/>
    </w:rPr>
  </w:style>
  <w:style w:type="paragraph" w:styleId="TOC4">
    <w:name w:val="toc 4"/>
    <w:basedOn w:val="Normal"/>
    <w:next w:val="Normal"/>
    <w:autoRedefine/>
    <w:uiPriority w:val="39"/>
    <w:unhideWhenUsed/>
    <w:qFormat/>
    <w:rsid w:val="005B36F5"/>
    <w:pPr>
      <w:tabs>
        <w:tab w:val="right" w:leader="dot" w:pos="9628"/>
      </w:tabs>
      <w:spacing w:after="100"/>
      <w:ind w:left="567"/>
    </w:pPr>
    <w:rPr>
      <w:rFonts w:asciiTheme="minorHAnsi" w:eastAsiaTheme="minorEastAsia" w:hAnsiTheme="minorHAnsi"/>
      <w:noProof/>
      <w:sz w:val="22"/>
      <w:szCs w:val="22"/>
    </w:rPr>
  </w:style>
  <w:style w:type="paragraph" w:styleId="TOC5">
    <w:name w:val="toc 5"/>
    <w:basedOn w:val="Normal"/>
    <w:next w:val="Normal"/>
    <w:semiHidden/>
    <w:unhideWhenUsed/>
    <w:rsid w:val="005B36F5"/>
    <w:pPr>
      <w:tabs>
        <w:tab w:val="right" w:leader="dot" w:pos="9628"/>
      </w:tabs>
      <w:spacing w:after="100"/>
      <w:ind w:left="567"/>
    </w:pPr>
    <w:rPr>
      <w:szCs w:val="22"/>
    </w:rPr>
  </w:style>
  <w:style w:type="paragraph" w:styleId="TOC6">
    <w:name w:val="toc 6"/>
    <w:basedOn w:val="Normal"/>
    <w:next w:val="Normal"/>
    <w:autoRedefine/>
    <w:semiHidden/>
    <w:unhideWhenUsed/>
    <w:rsid w:val="005B36F5"/>
    <w:pPr>
      <w:spacing w:after="100"/>
      <w:ind w:left="850"/>
    </w:pPr>
  </w:style>
  <w:style w:type="paragraph" w:styleId="TOC7">
    <w:name w:val="toc 7"/>
    <w:basedOn w:val="Normal"/>
    <w:next w:val="Normal"/>
    <w:autoRedefine/>
    <w:semiHidden/>
    <w:unhideWhenUsed/>
    <w:rsid w:val="005B36F5"/>
    <w:pPr>
      <w:spacing w:after="100"/>
      <w:ind w:left="1020"/>
    </w:pPr>
  </w:style>
  <w:style w:type="paragraph" w:styleId="TOC8">
    <w:name w:val="toc 8"/>
    <w:basedOn w:val="Normal"/>
    <w:next w:val="Normal"/>
    <w:autoRedefine/>
    <w:semiHidden/>
    <w:unhideWhenUsed/>
    <w:rsid w:val="005B36F5"/>
    <w:pPr>
      <w:spacing w:after="100"/>
      <w:ind w:left="1190"/>
    </w:pPr>
  </w:style>
  <w:style w:type="paragraph" w:styleId="TOC9">
    <w:name w:val="toc 9"/>
    <w:basedOn w:val="Normal"/>
    <w:next w:val="Normal"/>
    <w:autoRedefine/>
    <w:semiHidden/>
    <w:unhideWhenUsed/>
    <w:rsid w:val="005B36F5"/>
    <w:pPr>
      <w:spacing w:after="100"/>
      <w:ind w:left="1360"/>
    </w:pPr>
  </w:style>
  <w:style w:type="paragraph" w:customStyle="1" w:styleId="TableHead2">
    <w:name w:val="Table Head2"/>
    <w:basedOn w:val="TableHead"/>
    <w:qFormat/>
    <w:rsid w:val="005B36F5"/>
    <w:pPr>
      <w:outlineLvl w:val="9"/>
    </w:pPr>
  </w:style>
  <w:style w:type="paragraph" w:customStyle="1" w:styleId="TableSideHeading2">
    <w:name w:val="Table SideHeading2"/>
    <w:basedOn w:val="TableSideHeading"/>
    <w:autoRedefine/>
    <w:qFormat/>
    <w:rsid w:val="005B36F5"/>
    <w:pPr>
      <w:keepLines w:val="0"/>
      <w:outlineLvl w:val="9"/>
    </w:pPr>
  </w:style>
  <w:style w:type="paragraph" w:customStyle="1" w:styleId="0">
    <w:name w:val="סגנון שורה ראשונה:  0  ס''מ"/>
    <w:basedOn w:val="Heading2"/>
    <w:rsid w:val="005B36F5"/>
    <w:rPr>
      <w:rFonts w:eastAsia="Times New Roman"/>
    </w:rPr>
  </w:style>
  <w:style w:type="paragraph" w:styleId="ListParagraph">
    <w:name w:val="List Paragraph"/>
    <w:basedOn w:val="Normal"/>
    <w:uiPriority w:val="34"/>
    <w:qFormat/>
    <w:rsid w:val="005B36F5"/>
    <w:pPr>
      <w:widowControl/>
      <w:spacing w:line="259" w:lineRule="auto"/>
    </w:pPr>
    <w:rPr>
      <w:rFonts w:asciiTheme="minorHAnsi" w:hAnsiTheme="minorHAnsi"/>
      <w:sz w:val="22"/>
    </w:rPr>
  </w:style>
  <w:style w:type="table" w:styleId="TableGrid">
    <w:name w:val="Table Grid"/>
    <w:basedOn w:val="TableNormal"/>
    <w:rsid w:val="005B36F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5B36F5"/>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5B36F5"/>
    <w:pPr>
      <w:spacing w:after="0" w:line="240" w:lineRule="auto"/>
    </w:pPr>
    <w:rPr>
      <w:rFonts w:ascii="Times New Roman" w:eastAsia="MS Mincho"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name w:val="טבלת חקיקה"/>
    <w:basedOn w:val="TableNormal"/>
    <w:uiPriority w:val="99"/>
    <w:rsid w:val="005B36F5"/>
    <w:pPr>
      <w:spacing w:after="0" w:line="240" w:lineRule="auto"/>
      <w:jc w:val="center"/>
    </w:pPr>
    <w:rPr>
      <w:rFonts w:ascii="Times New Roman" w:eastAsia="MS Mincho" w:hAnsi="Times New Roman"/>
      <w:sz w:val="20"/>
      <w:szCs w:val="20"/>
    </w:rPr>
    <w:tblPr/>
    <w:tcPr>
      <w:tcMar>
        <w:left w:w="0" w:type="dxa"/>
        <w:right w:w="0" w:type="dxa"/>
      </w:tcMar>
      <w:vAlign w:val="center"/>
    </w:tcPr>
    <w:tblStylePr w:type="firstRow">
      <w:pPr>
        <w:jc w:val="center"/>
      </w:pPr>
      <w:rPr>
        <w:rFonts w:cs="David"/>
        <w:bCs/>
        <w:szCs w:val="24"/>
      </w:rPr>
      <w:tblPr/>
      <w:tcPr>
        <w:tcBorders>
          <w:top w:val="nil"/>
          <w:left w:val="nil"/>
          <w:bottom w:val="nil"/>
          <w:right w:val="nil"/>
          <w:insideH w:val="nil"/>
          <w:insideV w:val="nil"/>
          <w:tl2br w:val="nil"/>
          <w:tr2bl w:val="nil"/>
        </w:tcBorders>
        <w:shd w:val="pct10" w:color="auto" w:fill="auto"/>
      </w:tcPr>
    </w:tblStylePr>
    <w:tblStylePr w:type="firstCol">
      <w:tblPr/>
      <w:tcPr>
        <w:noWrap/>
      </w:tcPr>
    </w:tblStylePr>
    <w:tblStylePr w:type="lastCol">
      <w:pPr>
        <w:jc w:val="center"/>
      </w:pPr>
      <w:tblPr/>
      <w:tcPr>
        <w:noWrap/>
      </w:tcPr>
    </w:tblStylePr>
  </w:style>
  <w:style w:type="table" w:customStyle="1" w:styleId="1">
    <w:name w:val="סגנון1"/>
    <w:basedOn w:val="TableNormal"/>
    <w:uiPriority w:val="99"/>
    <w:rsid w:val="005B36F5"/>
    <w:pPr>
      <w:spacing w:after="0" w:line="240" w:lineRule="auto"/>
    </w:pPr>
    <w:rPr>
      <w:rFonts w:ascii="Times New Roman" w:eastAsia="MS Mincho" w:hAnsi="Times New Roman" w:cs="Times New Roman"/>
      <w:sz w:val="20"/>
      <w:szCs w:val="20"/>
    </w:rPr>
    <w:tblPr/>
    <w:tblStylePr w:type="firstCol">
      <w:pPr>
        <w:keepNext w:val="0"/>
        <w:keepLines/>
        <w:pageBreakBefore w:val="0"/>
        <w:widowControl w:val="0"/>
        <w:suppressLineNumbers w:val="0"/>
        <w:suppressAutoHyphens w:val="0"/>
        <w:wordWrap/>
      </w:pPr>
    </w:tblStylePr>
  </w:style>
  <w:style w:type="paragraph" w:styleId="BalloonText">
    <w:name w:val="Balloon Text"/>
    <w:basedOn w:val="Normal"/>
    <w:link w:val="BalloonTextChar"/>
    <w:uiPriority w:val="99"/>
    <w:semiHidden/>
    <w:unhideWhenUsed/>
    <w:rsid w:val="005F05C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5CA"/>
    <w:rPr>
      <w:rFonts w:ascii="Segoe UI" w:hAnsi="Segoe UI" w:cs="Segoe UI"/>
      <w:sz w:val="18"/>
      <w:szCs w:val="18"/>
    </w:rPr>
  </w:style>
  <w:style w:type="character" w:styleId="CommentReference">
    <w:name w:val="annotation reference"/>
    <w:basedOn w:val="DefaultParagraphFont"/>
    <w:uiPriority w:val="99"/>
    <w:semiHidden/>
    <w:unhideWhenUsed/>
    <w:rsid w:val="005F05CA"/>
    <w:rPr>
      <w:sz w:val="16"/>
      <w:szCs w:val="16"/>
    </w:rPr>
  </w:style>
  <w:style w:type="paragraph" w:styleId="CommentText">
    <w:name w:val="annotation text"/>
    <w:basedOn w:val="Normal"/>
    <w:link w:val="CommentTextChar"/>
    <w:uiPriority w:val="99"/>
    <w:semiHidden/>
    <w:unhideWhenUsed/>
    <w:rsid w:val="005F05CA"/>
    <w:pPr>
      <w:spacing w:line="240" w:lineRule="auto"/>
    </w:pPr>
    <w:rPr>
      <w:sz w:val="20"/>
      <w:szCs w:val="20"/>
    </w:rPr>
  </w:style>
  <w:style w:type="character" w:customStyle="1" w:styleId="CommentTextChar">
    <w:name w:val="Comment Text Char"/>
    <w:basedOn w:val="DefaultParagraphFont"/>
    <w:link w:val="CommentText"/>
    <w:uiPriority w:val="99"/>
    <w:semiHidden/>
    <w:rsid w:val="005F05CA"/>
    <w:rPr>
      <w:rFonts w:ascii="David" w:hAnsi="David" w:cs="David"/>
      <w:sz w:val="20"/>
      <w:szCs w:val="20"/>
    </w:rPr>
  </w:style>
  <w:style w:type="paragraph" w:styleId="CommentSubject">
    <w:name w:val="annotation subject"/>
    <w:basedOn w:val="CommentText"/>
    <w:next w:val="CommentText"/>
    <w:link w:val="CommentSubjectChar"/>
    <w:uiPriority w:val="99"/>
    <w:semiHidden/>
    <w:unhideWhenUsed/>
    <w:rsid w:val="005F05CA"/>
    <w:rPr>
      <w:b/>
      <w:bCs/>
    </w:rPr>
  </w:style>
  <w:style w:type="character" w:customStyle="1" w:styleId="CommentSubjectChar">
    <w:name w:val="Comment Subject Char"/>
    <w:basedOn w:val="CommentTextChar"/>
    <w:link w:val="CommentSubject"/>
    <w:uiPriority w:val="99"/>
    <w:semiHidden/>
    <w:rsid w:val="005F05CA"/>
    <w:rPr>
      <w:rFonts w:ascii="David" w:hAnsi="David" w:cs="David"/>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973435">
      <w:bodyDiv w:val="1"/>
      <w:marLeft w:val="0"/>
      <w:marRight w:val="0"/>
      <w:marTop w:val="0"/>
      <w:marBottom w:val="0"/>
      <w:divBdr>
        <w:top w:val="none" w:sz="0" w:space="0" w:color="auto"/>
        <w:left w:val="none" w:sz="0" w:space="0" w:color="auto"/>
        <w:bottom w:val="none" w:sz="0" w:space="0" w:color="auto"/>
        <w:right w:val="none" w:sz="0" w:space="0" w:color="auto"/>
      </w:divBdr>
    </w:div>
    <w:div w:id="191477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F0B97-DFAD-4101-A866-99F882AC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700</Words>
  <Characters>3502</Characters>
  <Application>Microsoft Office Word</Application>
  <DocSecurity>4</DocSecurity>
  <Lines>29</Lines>
  <Paragraphs>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 Belkin</dc:creator>
  <cp:keywords/>
  <dc:description/>
  <cp:lastModifiedBy>Melita Shafir</cp:lastModifiedBy>
  <cp:revision>2</cp:revision>
  <dcterms:created xsi:type="dcterms:W3CDTF">2021-05-05T12:02:00Z</dcterms:created>
  <dcterms:modified xsi:type="dcterms:W3CDTF">2021-05-05T12:02:00Z</dcterms:modified>
</cp:coreProperties>
</file>